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2.0" w:type="dxa"/>
        <w:jc w:val="left"/>
        <w:tblBorders>
          <w:top w:color="c8c9c7" w:space="0" w:sz="8" w:val="single"/>
          <w:left w:color="c8c9c7" w:space="0" w:sz="8" w:val="single"/>
          <w:bottom w:color="c8c9c7" w:space="0" w:sz="8" w:val="single"/>
          <w:right w:color="c8c9c7" w:space="0" w:sz="8" w:val="single"/>
          <w:insideH w:color="c8c9c7" w:space="0" w:sz="8" w:val="single"/>
          <w:insideV w:color="c8c9c7" w:space="0" w:sz="8" w:val="single"/>
        </w:tblBorders>
        <w:tblLayout w:type="fixed"/>
        <w:tblLook w:val="0400"/>
      </w:tblPr>
      <w:tblGrid>
        <w:gridCol w:w="3023"/>
        <w:gridCol w:w="3394"/>
        <w:gridCol w:w="2314"/>
        <w:gridCol w:w="2141"/>
        <w:tblGridChange w:id="0">
          <w:tblGrid>
            <w:gridCol w:w="3023"/>
            <w:gridCol w:w="3394"/>
            <w:gridCol w:w="2314"/>
            <w:gridCol w:w="2141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DLP ID &amp; 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KBXXXXXXX  </w:t>
            </w:r>
            <w:r w:rsidDel="00000000" w:rsidR="00000000" w:rsidRPr="00000000">
              <w:rPr>
                <w:color w:val="000000"/>
                <w:rtl w:val="0"/>
              </w:rPr>
              <w:t xml:space="preserve">Open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DEPARTMENT/FUNCTION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Various/Service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V.1.0</w:t>
            </w:r>
          </w:p>
        </w:tc>
      </w:tr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SEGMENT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BPO Member / Government 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ROLE(S)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 Agent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purpose of this document is to HIPAA verify the caller and confirm the reason for the call. </w:t>
      </w:r>
    </w:p>
    <w:bookmarkStart w:colFirst="0" w:colLast="0" w:name="gjdgxs" w:id="0"/>
    <w:bookmarkEnd w:id="0"/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Customer Service Agent – Opening the Call</w:t>
      </w:r>
    </w:p>
    <w:tbl>
      <w:tblPr>
        <w:tblStyle w:val="Table2"/>
        <w:tblW w:w="10872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ffffff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Avaya</w:t>
            </w:r>
            <w:r w:rsidDel="00000000" w:rsidR="00000000" w:rsidRPr="00000000">
              <w:rPr>
                <w:rtl w:val="0"/>
              </w:rPr>
              <w:t xml:space="preserve"> status to </w:t>
            </w:r>
            <w:r w:rsidDel="00000000" w:rsidR="00000000" w:rsidRPr="00000000">
              <w:rPr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Wait</w:t>
            </w:r>
            <w:r w:rsidDel="00000000" w:rsidR="00000000" w:rsidRPr="00000000">
              <w:rPr>
                <w:rtl w:val="0"/>
              </w:rPr>
              <w:t xml:space="preserve"> for the </w:t>
            </w:r>
            <w:r w:rsidDel="00000000" w:rsidR="00000000" w:rsidRPr="00000000">
              <w:rPr>
                <w:b w:val="1"/>
                <w:rtl w:val="0"/>
              </w:rPr>
              <w:t xml:space="preserve">inbound call</w:t>
            </w:r>
            <w:r w:rsidDel="00000000" w:rsidR="00000000" w:rsidRPr="00000000">
              <w:rPr>
                <w:rtl w:val="0"/>
              </w:rPr>
              <w:t xml:space="preserve">. The IVR delivers the call to the agent, and the verification Launcher appears.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following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Greet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caller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Ask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caller,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i w:val="1"/>
                <w:rtl w:val="0"/>
              </w:rPr>
              <w:t xml:space="preserve">How may I help you?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Does the current caller require translation assistance?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znysh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go 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w:anchor="3dy6vkm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bookmarkStart w:colFirst="0" w:colLast="0" w:name="3znysh7" w:id="3"/>
          <w:bookmarkEnd w:id="3"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Identify </w:t>
            </w:r>
            <w:r w:rsidDel="00000000" w:rsidR="00000000" w:rsidRPr="00000000">
              <w:rPr>
                <w:rtl w:val="0"/>
              </w:rPr>
              <w:t xml:space="preserve">what</w:t>
            </w:r>
            <w:r w:rsidDel="00000000" w:rsidR="00000000" w:rsidRPr="00000000">
              <w:rPr>
                <w:b w:val="1"/>
                <w:rtl w:val="0"/>
              </w:rPr>
              <w:t xml:space="preserve"> language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appropriate for the current caller.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Is the appropriate language Spanish?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go to </w:t>
            </w:r>
            <w:hyperlink w:anchor="2et92p0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go to </w:t>
            </w:r>
            <w:hyperlink w:anchor="tyjcwt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When 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appropriate language IS Spanish: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caller</w:t>
            </w:r>
            <w:r w:rsidDel="00000000" w:rsidR="00000000" w:rsidRPr="00000000">
              <w:rPr>
                <w:rtl w:val="0"/>
              </w:rPr>
              <w:t xml:space="preserve"> to one of the following Spanish Transfer options: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Individual: </w:t>
            </w:r>
          </w:p>
          <w:p w:rsidR="00000000" w:rsidDel="00000000" w:rsidP="00000000" w:rsidRDefault="00000000" w:rsidRPr="00000000" w14:paraId="00000034">
            <w:pPr>
              <w:numPr>
                <w:ilvl w:val="2"/>
                <w:numId w:val="13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Mem Con Spanish: x115</w:t>
            </w:r>
          </w:p>
          <w:p w:rsidR="00000000" w:rsidDel="00000000" w:rsidP="00000000" w:rsidRDefault="00000000" w:rsidRPr="00000000" w14:paraId="00000035">
            <w:pPr>
              <w:numPr>
                <w:ilvl w:val="2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Claims CCSC Spanish: x145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MedSupp: x702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BPO Member: Review note (</w:t>
            </w: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BPO Member Spanish calls get routed through the phone system to our internal staff. When a BPO Member call gets routed incorrectly, please transfer it to an internal BPO Member agent.)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Avaya status</w:t>
            </w:r>
            <w:r w:rsidDel="00000000" w:rsidR="00000000" w:rsidRPr="00000000">
              <w:rPr>
                <w:rtl w:val="0"/>
              </w:rPr>
              <w:t xml:space="preserve"> back to </w:t>
            </w:r>
            <w:r w:rsidDel="00000000" w:rsidR="00000000" w:rsidRPr="00000000">
              <w:rPr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PROCESS COMPLETE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bookmarkStart w:colFirst="0" w:colLast="0" w:name="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When the appropriate language is NOT Spanish: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Advise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caller</w:t>
            </w:r>
            <w:r w:rsidDel="00000000" w:rsidR="00000000" w:rsidRPr="00000000">
              <w:rPr>
                <w:rtl w:val="0"/>
              </w:rPr>
              <w:t xml:space="preserve"> that a translator will be added to the call for the best service.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caller </w:t>
            </w:r>
            <w:r w:rsidDel="00000000" w:rsidR="00000000" w:rsidRPr="00000000">
              <w:rPr>
                <w:rtl w:val="0"/>
              </w:rPr>
              <w:t xml:space="preserve">on hold.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</w:t>
            </w:r>
            <w:r w:rsidDel="00000000" w:rsidR="00000000" w:rsidRPr="00000000">
              <w:rPr>
                <w:rtl w:val="0"/>
              </w:rPr>
              <w:t xml:space="preserve"> to the </w:t>
            </w:r>
            <w:r w:rsidDel="00000000" w:rsidR="00000000" w:rsidRPr="00000000">
              <w:rPr>
                <w:b w:val="1"/>
                <w:rtl w:val="0"/>
              </w:rPr>
              <w:t xml:space="preserve">DLP Language Line/Translation/Interpreters/Hearing or Speech Impaired Line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DLP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caller</w:t>
            </w:r>
            <w:r w:rsidDel="00000000" w:rsidR="00000000" w:rsidRPr="00000000">
              <w:rPr>
                <w:rtl w:val="0"/>
              </w:rPr>
              <w:t xml:space="preserve"> to the call and </w:t>
            </w:r>
            <w:r w:rsidDel="00000000" w:rsidR="00000000" w:rsidRPr="00000000">
              <w:rPr>
                <w:b w:val="1"/>
                <w:rtl w:val="0"/>
              </w:rPr>
              <w:t xml:space="preserve">introduce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translator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case comment</w:t>
            </w:r>
            <w:r w:rsidDel="00000000" w:rsidR="00000000" w:rsidRPr="00000000">
              <w:rPr>
                <w:rtl w:val="0"/>
              </w:rPr>
              <w:t xml:space="preserve"> with the translator’s name and ID.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Determine</w:t>
            </w:r>
            <w:r w:rsidDel="00000000" w:rsidR="00000000" w:rsidRPr="00000000">
              <w:rPr>
                <w:rtl w:val="0"/>
              </w:rPr>
              <w:t xml:space="preserve"> if the </w:t>
            </w:r>
            <w:r w:rsidDel="00000000" w:rsidR="00000000" w:rsidRPr="00000000">
              <w:rPr>
                <w:b w:val="1"/>
                <w:rtl w:val="0"/>
              </w:rPr>
              <w:t xml:space="preserve">caller</w:t>
            </w:r>
            <w:r w:rsidDel="00000000" w:rsidR="00000000" w:rsidRPr="00000000">
              <w:rPr>
                <w:rtl w:val="0"/>
              </w:rPr>
              <w:t xml:space="preserve"> is a: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Non-member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Authorized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Unauthorized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Identify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subject </w:t>
            </w: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b w:val="1"/>
                <w:rtl w:val="0"/>
              </w:rPr>
              <w:t xml:space="preserve"> reason 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call.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leader="none" w:pos="82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82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Customer Service Agent – Determining the Caller and Identifying the Subject</w:t>
      </w:r>
    </w:p>
    <w:tbl>
      <w:tblPr>
        <w:tblStyle w:val="Table3"/>
        <w:tblW w:w="10826.0" w:type="dxa"/>
        <w:jc w:val="left"/>
        <w:tblBorders>
          <w:top w:color="c8c9c7" w:space="0" w:sz="8" w:val="single"/>
          <w:left w:color="c8c9c7" w:space="0" w:sz="8" w:val="single"/>
          <w:bottom w:color="c8c9c7" w:space="0" w:sz="8" w:val="single"/>
          <w:right w:color="c8c9c7" w:space="0" w:sz="8" w:val="single"/>
          <w:insideH w:color="c8c9c7" w:space="0" w:sz="8" w:val="single"/>
          <w:insideV w:color="c8c9c7" w:space="0" w:sz="8" w:val="single"/>
        </w:tblBorders>
        <w:tblLayout w:type="fixed"/>
        <w:tblLook w:val="0400"/>
      </w:tblPr>
      <w:tblGrid>
        <w:gridCol w:w="707"/>
        <w:gridCol w:w="10119"/>
        <w:tblGridChange w:id="0">
          <w:tblGrid>
            <w:gridCol w:w="707"/>
            <w:gridCol w:w="10119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Is the caller an existing member?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2p2csry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14 of the Determining if the Member Is in the Salesforce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t3h5sf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bookmarkStart w:colFirst="0" w:colLast="0" w:name="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Is the caller an authorized representative?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2jxsxqh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 of the Determining if the Member Is in the Salesforce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4d34og8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3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bookmarkStart w:colFirst="0" w:colLast="0" w:name="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Identify </w:t>
            </w:r>
            <w:r w:rsidDel="00000000" w:rsidR="00000000" w:rsidRPr="00000000">
              <w:rPr>
                <w:rtl w:val="0"/>
              </w:rPr>
              <w:t xml:space="preserve">what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caller </w:t>
            </w:r>
            <w:r w:rsidDel="00000000" w:rsidR="00000000" w:rsidRPr="00000000">
              <w:rPr>
                <w:rtl w:val="0"/>
              </w:rPr>
              <w:t xml:space="preserve">needs assistance with.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Is the caller a prospective member?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2s8eyo1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5nkun2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bookmarkStart w:colFirst="0" w:colLast="0" w:name="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Is this an Individual plan?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7dp8vu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26in1rg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bookmarkStart w:colFirst="0" w:colLast="0" w:name="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When the caller IS on an Individual plan, complete the following: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</w:t>
            </w:r>
            <w:r w:rsidDel="00000000" w:rsidR="00000000" w:rsidRPr="00000000">
              <w:rPr>
                <w:rtl w:val="0"/>
              </w:rPr>
              <w:t xml:space="preserve"> the call to </w:t>
            </w:r>
            <w:r w:rsidDel="00000000" w:rsidR="00000000" w:rsidRPr="00000000">
              <w:rPr>
                <w:b w:val="1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The number for Sales is 602-864-XXXX.)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</w:t>
            </w:r>
            <w:hyperlink w:anchor="3fwokq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Step 4 in the General Information and Ending a Call</w:t>
              </w:r>
            </w:hyperlink>
            <w:r w:rsidDel="00000000" w:rsidR="00000000" w:rsidRPr="00000000">
              <w:rPr>
                <w:rtl w:val="0"/>
              </w:rPr>
              <w:t xml:space="preserve"> section.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3" w:hRule="atLeast"/>
          <w:tblHeader w:val="0"/>
        </w:trPr>
        <w:tc>
          <w:tcPr/>
          <w:bookmarkStart w:colFirst="0" w:colLast="0" w:name="3rdcrjn" w:id="11"/>
          <w:bookmarkEnd w:id="11"/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bookmarkStart w:colFirst="0" w:colLast="0" w:name="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When the caller is NOT on an Individual plan but is on a MedSupp plan, complete the following: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</w:t>
            </w:r>
            <w:r w:rsidDel="00000000" w:rsidR="00000000" w:rsidRPr="00000000">
              <w:rPr>
                <w:rtl w:val="0"/>
              </w:rPr>
              <w:t xml:space="preserve"> the call to </w:t>
            </w:r>
            <w:r w:rsidDel="00000000" w:rsidR="00000000" w:rsidRPr="00000000">
              <w:rPr>
                <w:b w:val="1"/>
                <w:rtl w:val="0"/>
              </w:rPr>
              <w:t xml:space="preserve">Health Plan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rtl w:val="0"/>
              </w:rPr>
              <w:t xml:space="preserve"> (NOTE</w:t>
            </w:r>
            <w:r w:rsidDel="00000000" w:rsidR="00000000" w:rsidRPr="00000000">
              <w:rPr>
                <w:rtl w:val="0"/>
              </w:rPr>
              <w:t xml:space="preserve">: The number for HPO is 888-264-XXXX.)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</w:t>
            </w:r>
            <w:hyperlink w:anchor="3fwokq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Step 4 in the General Information and Ending a Call</w:t>
              </w:r>
            </w:hyperlink>
            <w:r w:rsidDel="00000000" w:rsidR="00000000" w:rsidRPr="00000000">
              <w:rPr>
                <w:rtl w:val="0"/>
              </w:rPr>
              <w:t xml:space="preserve"> section.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/>
          <w:bookmarkStart w:colFirst="0" w:colLast="0" w:name="lnxbz9" w:id="13"/>
          <w:bookmarkEnd w:id="13"/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bookmarkStart w:colFirst="0" w:colLast="0" w:name="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Does the caller need to be transferred to a different area?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transfer the call to the appropriate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fwokq0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4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826"/>
        </w:tabs>
        <w:rPr/>
      </w:pPr>
      <w:r w:rsidDel="00000000" w:rsidR="00000000" w:rsidRPr="00000000">
        <w:rPr>
          <w:rtl w:val="0"/>
        </w:rPr>
        <w:t xml:space="preserve">3. Customer Service Agent – Determining if the Member Is in Salesforce</w:t>
      </w:r>
    </w:p>
    <w:tbl>
      <w:tblPr>
        <w:tblStyle w:val="Table4"/>
        <w:tblW w:w="10872.0" w:type="dxa"/>
        <w:jc w:val="left"/>
        <w:tblBorders>
          <w:top w:color="c8c9c7" w:space="0" w:sz="8" w:val="single"/>
          <w:left w:color="c8c9c7" w:space="0" w:sz="8" w:val="single"/>
          <w:bottom w:color="c8c9c7" w:space="0" w:sz="8" w:val="single"/>
          <w:right w:color="c8c9c7" w:space="0" w:sz="8" w:val="single"/>
          <w:insideH w:color="c8c9c7" w:space="0" w:sz="8" w:val="single"/>
          <w:insideV w:color="c8c9c7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1ksv4uv" w:id="15"/>
            <w:bookmarkEnd w:id="15"/>
            <w:bookmarkStart w:colFirst="0" w:colLast="0" w:name="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2jxsxqh" w:id="17"/>
          <w:bookmarkEnd w:id="17"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Was the caller found in Salesforce?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z337ya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hmsyys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bookmarkStart w:colFirst="0" w:colLast="0" w:name="z337ya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FileNet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OnBase</w:t>
            </w:r>
            <w:r w:rsidDel="00000000" w:rsidR="00000000" w:rsidRPr="00000000">
              <w:rPr>
                <w:rtl w:val="0"/>
              </w:rPr>
              <w:t xml:space="preserve"> from the link bar at the bottom of the screen.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Agents need to be able to view CIRFI forms to determine if the caller is an authorized representative. 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Is the caller listed as an authorized representative?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the applicable application status check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y810tw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If the member is the person calling, move to </w:t>
            </w:r>
            <w:hyperlink w:anchor="2xcytpi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Step 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bookmarkStart w:colFirst="0" w:colLast="0" w:name="1y810tw" w:id="19"/>
            <w:bookmarkEnd w:id="19"/>
            <w:bookmarkStart w:colFirst="0" w:colLast="0" w:name="3j2qqm3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When the caller is NOT listed as an authorized representative: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Advise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caller</w:t>
            </w:r>
            <w:r w:rsidDel="00000000" w:rsidR="00000000" w:rsidRPr="00000000">
              <w:rPr>
                <w:rtl w:val="0"/>
              </w:rPr>
              <w:t xml:space="preserve"> that they are NOT listed as an </w:t>
            </w:r>
            <w:r w:rsidDel="00000000" w:rsidR="00000000" w:rsidRPr="00000000">
              <w:rPr>
                <w:b w:val="1"/>
                <w:rtl w:val="0"/>
              </w:rPr>
              <w:t xml:space="preserve">authorized representative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Ask</w:t>
            </w:r>
            <w:r w:rsidDel="00000000" w:rsidR="00000000" w:rsidRPr="00000000">
              <w:rPr>
                <w:rtl w:val="0"/>
              </w:rPr>
              <w:t xml:space="preserve"> if the </w:t>
            </w: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is </w:t>
            </w:r>
            <w:r w:rsidDel="00000000" w:rsidR="00000000" w:rsidRPr="00000000">
              <w:rPr>
                <w:b w:val="1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ind w:left="-5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Is the member available?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2xcytpi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qsh70q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bookmarkStart w:colFirst="0" w:colLast="0" w:name="2xcytpi" w:id="21"/>
            <w:bookmarkEnd w:id="21"/>
            <w:bookmarkStart w:colFirst="0" w:colLast="0" w:name="4i7ojhp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Introduce yourself</w:t>
            </w:r>
            <w:r w:rsidDel="00000000" w:rsidR="00000000" w:rsidRPr="00000000">
              <w:rPr>
                <w:rtl w:val="0"/>
              </w:rPr>
              <w:t xml:space="preserve"> to the member and </w:t>
            </w:r>
            <w:r w:rsidDel="00000000" w:rsidR="00000000" w:rsidRPr="00000000">
              <w:rPr>
                <w:b w:val="1"/>
                <w:rtl w:val="0"/>
              </w:rPr>
              <w:t xml:space="preserve">request HIPAA validation information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Does the member pass validation?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ci93xb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hmsyys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bookmarkStart w:colFirst="0" w:colLast="0" w:name="1ci93xb" w:id="23"/>
            <w:bookmarkEnd w:id="23"/>
            <w:bookmarkStart w:colFirst="0" w:colLast="0" w:name="3whwml4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  <w:t xml:space="preserve"> to the applicable </w:t>
            </w:r>
            <w:r w:rsidDel="00000000" w:rsidR="00000000" w:rsidRPr="00000000">
              <w:rPr>
                <w:b w:val="1"/>
                <w:rtl w:val="0"/>
              </w:rPr>
              <w:t xml:space="preserve">service process </w:t>
            </w:r>
            <w:r w:rsidDel="00000000" w:rsidR="00000000" w:rsidRPr="00000000">
              <w:rPr>
                <w:rtl w:val="0"/>
              </w:rPr>
              <w:t xml:space="preserve">when the </w:t>
            </w: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CAN </w:t>
            </w:r>
            <w:r w:rsidDel="00000000" w:rsidR="00000000" w:rsidRPr="00000000">
              <w:rPr>
                <w:b w:val="1"/>
                <w:rtl w:val="0"/>
              </w:rPr>
              <w:t xml:space="preserve">pass validation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bookmarkStart w:colFirst="0" w:colLast="0" w:name="qsh70q" w:id="25"/>
            <w:bookmarkEnd w:id="25"/>
            <w:bookmarkStart w:colFirst="0" w:colLast="0" w:name="2bn6wsx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Does the caller want to be listed as an Authorized Representative, Durable POA, or Authorization of representation?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as4poj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hmsyys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bookmarkStart w:colFirst="0" w:colLast="0" w:name="3as4poj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When the caller WANTS to be listed as an Authorized Representative, Durable POA, or Authorization of representation: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CIRFI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will be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the member’s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complete and submit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Arvato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from the link bar at the bottom of the screen to request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CIRFI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Recap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is taken and the resolution to the caller.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caller,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there anything else?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Agents need to be able to send CIRFI forms to callers.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Does the caller need further assistance?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hmsyys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pxezwc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1pxezwc" w:id="28"/>
            <w:bookmarkEnd w:id="28"/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Does the caller want a case number?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49x2ik5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fwokq0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4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bookmarkStart w:colFirst="0" w:colLast="0" w:name="49x2ik5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Provide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case number</w:t>
            </w:r>
            <w:r w:rsidDel="00000000" w:rsidR="00000000" w:rsidRPr="00000000">
              <w:rPr>
                <w:rtl w:val="0"/>
              </w:rPr>
              <w:t xml:space="preserve"> to the caller and </w:t>
            </w:r>
            <w:r w:rsidDel="00000000" w:rsidR="00000000" w:rsidRPr="00000000">
              <w:rPr>
                <w:b w:val="1"/>
                <w:rtl w:val="0"/>
              </w:rPr>
              <w:t xml:space="preserve">follow </w:t>
            </w:r>
            <w:hyperlink w:anchor="3fwokq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Step 4 in the General Information and Ending a Call</w:t>
              </w:r>
            </w:hyperlink>
            <w:r w:rsidDel="00000000" w:rsidR="00000000" w:rsidRPr="00000000">
              <w:rPr>
                <w:rtl w:val="0"/>
              </w:rPr>
              <w:t xml:space="preserve"> section.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2p2csry" w:id="30"/>
          <w:bookmarkEnd w:id="30"/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Was the caller found in Salesforce?</w:t>
            </w:r>
          </w:p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o7alnk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47n2zr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147n2zr" w:id="31"/>
          <w:bookmarkEnd w:id="31"/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Advise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caller </w:t>
            </w:r>
            <w:r w:rsidDel="00000000" w:rsidR="00000000" w:rsidRPr="00000000">
              <w:rPr>
                <w:rtl w:val="0"/>
              </w:rPr>
              <w:t xml:space="preserve">that additional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research is required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follow</w:t>
            </w:r>
            <w:r w:rsidDel="00000000" w:rsidR="00000000" w:rsidRPr="00000000">
              <w:rPr>
                <w:rtl w:val="0"/>
              </w:rPr>
              <w:t xml:space="preserve"> the applicable</w:t>
            </w:r>
            <w:r w:rsidDel="00000000" w:rsidR="00000000" w:rsidRPr="00000000">
              <w:rPr>
                <w:b w:val="1"/>
                <w:rtl w:val="0"/>
              </w:rPr>
              <w:t xml:space="preserve"> “application status check” </w:t>
            </w:r>
            <w:r w:rsidDel="00000000" w:rsidR="00000000" w:rsidRPr="00000000">
              <w:rPr>
                <w:rtl w:val="0"/>
              </w:rPr>
              <w:t xml:space="preserve">process.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Agents need to be able to search by social security number for new applicants.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3o7alnk" w:id="32"/>
          <w:bookmarkEnd w:id="32"/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following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-54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caller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within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Verification Launcher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unchecked items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“Verification Complete”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Verification Complete button creates an auto case.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Does the member pass HIPAA validation?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23ckvvd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1hmsyys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1 in the General Information and Ending a Call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23ckvvd" w:id="33"/>
          <w:bookmarkEnd w:id="33"/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</w:t>
            </w:r>
            <w:r w:rsidDel="00000000" w:rsidR="00000000" w:rsidRPr="00000000">
              <w:rPr>
                <w:rtl w:val="0"/>
              </w:rPr>
              <w:t xml:space="preserve"> that the </w:t>
            </w:r>
            <w:r w:rsidDel="00000000" w:rsidR="00000000" w:rsidRPr="00000000">
              <w:rPr>
                <w:b w:val="1"/>
                <w:rtl w:val="0"/>
              </w:rPr>
              <w:t xml:space="preserve">following</w:t>
            </w:r>
            <w:r w:rsidDel="00000000" w:rsidR="00000000" w:rsidRPr="00000000">
              <w:rPr>
                <w:rtl w:val="0"/>
              </w:rPr>
              <w:t xml:space="preserve"> on file is correct: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-54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Are the address, phone, and email correct?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32hioqz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ihv636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bookmarkStart w:colFirst="0" w:colLast="0" w:name="ihv636" w:id="34"/>
            <w:bookmarkEnd w:id="3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  <w:r w:rsidDel="00000000" w:rsidR="00000000" w:rsidRPr="00000000">
              <w:rPr>
                <w:rtl w:val="0"/>
              </w:rPr>
              <w:t xml:space="preserve"> the applicable </w:t>
            </w:r>
            <w:r w:rsidDel="00000000" w:rsidR="00000000" w:rsidRPr="00000000">
              <w:rPr>
                <w:b w:val="1"/>
                <w:rtl w:val="0"/>
              </w:rPr>
              <w:t xml:space="preserve">Demographic Update process </w:t>
            </w:r>
            <w:r w:rsidDel="00000000" w:rsidR="00000000" w:rsidRPr="00000000">
              <w:rPr>
                <w:rtl w:val="0"/>
              </w:rPr>
              <w:t xml:space="preserve">when the </w:t>
            </w:r>
            <w:r w:rsidDel="00000000" w:rsidR="00000000" w:rsidRPr="00000000">
              <w:rPr>
                <w:b w:val="1"/>
                <w:rtl w:val="0"/>
              </w:rPr>
              <w:t xml:space="preserve">contact information</w:t>
            </w:r>
            <w:r w:rsidDel="00000000" w:rsidR="00000000" w:rsidRPr="00000000">
              <w:rPr>
                <w:rtl w:val="0"/>
              </w:rPr>
              <w:t xml:space="preserve"> is NOT correct.</w:t>
            </w:r>
          </w:p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  <w:bookmarkStart w:colFirst="0" w:colLast="0" w:name="32hioqz" w:id="35"/>
            <w:bookmarkEnd w:id="3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  <w:r w:rsidDel="00000000" w:rsidR="00000000" w:rsidRPr="00000000">
              <w:rPr>
                <w:rtl w:val="0"/>
              </w:rPr>
              <w:t xml:space="preserve"> the applicable</w:t>
            </w:r>
            <w:r w:rsidDel="00000000" w:rsidR="00000000" w:rsidRPr="00000000">
              <w:rPr>
                <w:b w:val="1"/>
                <w:rtl w:val="0"/>
              </w:rPr>
              <w:t xml:space="preserve"> Service Process </w:t>
            </w:r>
            <w:r w:rsidDel="00000000" w:rsidR="00000000" w:rsidRPr="00000000">
              <w:rPr>
                <w:rtl w:val="0"/>
              </w:rPr>
              <w:t xml:space="preserve">when the </w:t>
            </w:r>
            <w:r w:rsidDel="00000000" w:rsidR="00000000" w:rsidRPr="00000000">
              <w:rPr>
                <w:b w:val="1"/>
                <w:rtl w:val="0"/>
              </w:rPr>
              <w:t xml:space="preserve">contact information</w:t>
            </w:r>
            <w:r w:rsidDel="00000000" w:rsidR="00000000" w:rsidRPr="00000000">
              <w:rPr>
                <w:rtl w:val="0"/>
              </w:rPr>
              <w:t xml:space="preserve"> IS correct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826"/>
        </w:tabs>
        <w:rPr/>
      </w:pPr>
      <w:r w:rsidDel="00000000" w:rsidR="00000000" w:rsidRPr="00000000">
        <w:rPr>
          <w:rtl w:val="0"/>
        </w:rPr>
        <w:t xml:space="preserve">4. Customer Service Agent – General Information and Ending a Call</w:t>
      </w:r>
    </w:p>
    <w:tbl>
      <w:tblPr>
        <w:tblStyle w:val="Table5"/>
        <w:tblW w:w="10872.0" w:type="dxa"/>
        <w:jc w:val="left"/>
        <w:tblBorders>
          <w:top w:color="c8c9c7" w:space="0" w:sz="8" w:val="single"/>
          <w:left w:color="c8c9c7" w:space="0" w:sz="8" w:val="single"/>
          <w:bottom w:color="c8c9c7" w:space="0" w:sz="8" w:val="single"/>
          <w:right w:color="c8c9c7" w:space="0" w:sz="8" w:val="single"/>
          <w:insideH w:color="c8c9c7" w:space="0" w:sz="8" w:val="single"/>
          <w:insideV w:color="c8c9c7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1hmsyys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Advise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caller</w:t>
            </w:r>
            <w:r w:rsidDel="00000000" w:rsidR="00000000" w:rsidRPr="00000000">
              <w:rPr>
                <w:rtl w:val="0"/>
              </w:rPr>
              <w:t xml:space="preserve"> that only general information can be provided.</w:t>
            </w:r>
          </w:p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 An example of general information can include payment, address, phone number, etc.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Does the caller want general information?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41mghml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 to </w:t>
            </w:r>
            <w:hyperlink w:anchor="vx122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bookmarkStart w:colFirst="0" w:colLast="0" w:name="41mghml" w:id="37"/>
            <w:bookmarkEnd w:id="3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When the caller wants general information: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requested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hyperlink w:anchor="vx122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Step 4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563c1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2grqrue" w:id="38"/>
          <w:bookmarkEnd w:id="38"/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bookmarkStart w:colFirst="0" w:colLast="0" w:name="3fwokq0" w:id="39"/>
            <w:bookmarkEnd w:id="39"/>
            <w:bookmarkStart w:colFirst="0" w:colLast="0" w:name="vx1227" w:id="40"/>
            <w:bookmarkEnd w:id="4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following</w:t>
            </w:r>
            <w:r w:rsidDel="00000000" w:rsidR="00000000" w:rsidRPr="00000000">
              <w:rPr>
                <w:rtl w:val="0"/>
              </w:rPr>
              <w:t xml:space="preserve"> to end the call: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Topic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Misdirected Call Type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Unauthorized Caller Subtype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Select Unauthorized Caller Subtype if the caller cannot authenticate.)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Topic Case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Wrap Call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DLP.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PROCESS COMPLETE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right"/>
        <w:rPr/>
      </w:pPr>
      <w:hyperlink w:anchor="gjdgxs">
        <w:r w:rsidDel="00000000" w:rsidR="00000000" w:rsidRPr="00000000">
          <w:rPr>
            <w:color w:val="0563c1"/>
            <w:u w:val="single"/>
            <w:rtl w:val="0"/>
          </w:rPr>
          <w:t xml:space="preserve">Return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Glossary of Acronyms &amp;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DLP-43 Language Line/Translation/Interpreters/Hearing or Speech Impaired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Wrap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6"/>
        <w:tblW w:w="10890.0" w:type="dxa"/>
        <w:jc w:val="left"/>
        <w:tblBorders>
          <w:top w:color="c8c9c7" w:space="0" w:sz="8" w:val="single"/>
          <w:left w:color="c8c9c7" w:space="0" w:sz="8" w:val="single"/>
          <w:bottom w:color="c8c9c7" w:space="0" w:sz="8" w:val="single"/>
          <w:right w:color="c8c9c7" w:space="0" w:sz="8" w:val="single"/>
          <w:insideH w:color="c8c9c7" w:space="0" w:sz="8" w:val="single"/>
          <w:insideV w:color="c8c9c7" w:space="0" w:sz="8" w:val="single"/>
        </w:tblBorders>
        <w:tblLayout w:type="fixed"/>
        <w:tblLook w:val="0400"/>
      </w:tblPr>
      <w:tblGrid>
        <w:gridCol w:w="976"/>
        <w:gridCol w:w="1315"/>
        <w:gridCol w:w="1751"/>
        <w:gridCol w:w="1286"/>
        <w:gridCol w:w="1095"/>
        <w:gridCol w:w="1335"/>
        <w:gridCol w:w="1566"/>
        <w:gridCol w:w="1566"/>
        <w:tblGridChange w:id="0">
          <w:tblGrid>
            <w:gridCol w:w="976"/>
            <w:gridCol w:w="1315"/>
            <w:gridCol w:w="1751"/>
            <w:gridCol w:w="1286"/>
            <w:gridCol w:w="1095"/>
            <w:gridCol w:w="1335"/>
            <w:gridCol w:w="1566"/>
            <w:gridCol w:w="1566"/>
          </w:tblGrid>
        </w:tblGridChange>
      </w:tblGrid>
      <w:tr>
        <w:trPr>
          <w:cantSplit w:val="0"/>
          <w:trHeight w:val="13" w:hRule="atLeast"/>
          <w:tblHeader w:val="1"/>
        </w:trPr>
        <w:tc>
          <w:tcPr>
            <w:shd w:fill="0070c0" w:val="clea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Revision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SME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SME Approval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Management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Management Approval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08/15/2022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Initial document creation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Lawrence Velasquez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Sta Sha R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09/15/2022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Sta Sha R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09/15/2022</w:t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040"/>
        <w:tab w:val="right" w:leader="none" w:pos="1080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b w:val="1"/>
        <w:sz w:val="36"/>
        <w:szCs w:val="36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808080"/>
        <w:sz w:val="36"/>
        <w:szCs w:val="36"/>
        <w:u w:val="none"/>
        <w:shd w:fill="auto" w:val="clear"/>
        <w:vertAlign w:val="baseline"/>
        <w:rtl w:val="0"/>
      </w:rPr>
      <w:t xml:space="preserve">Desk-Level Procedure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5440680</wp:posOffset>
          </wp:positionH>
          <wp:positionV relativeFrom="paragraph">
            <wp:posOffset>-76924</wp:posOffset>
          </wp:positionV>
          <wp:extent cx="1417320" cy="5207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7320" cy="520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color w:val="000000"/>
        <w:sz w:val="20"/>
        <w:szCs w:val="20"/>
      </w:rPr>
    </w:lvl>
    <w:lvl w:ilvl="4">
      <w:start w:val="1"/>
      <w:numFmt w:val="decimal"/>
      <w:lvlText w:val=""/>
      <w:lvlJc w:val="left"/>
      <w:pPr>
        <w:ind w:left="360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5">
      <w:start w:val="1"/>
      <w:numFmt w:val="decimal"/>
      <w:lvlText w:val=""/>
      <w:lvlJc w:val="right"/>
      <w:pPr>
        <w:ind w:left="432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6">
      <w:start w:val="1"/>
      <w:numFmt w:val="decimal"/>
      <w:lvlText w:val=""/>
      <w:lvlJc w:val="left"/>
      <w:pPr>
        <w:ind w:left="50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5760" w:hanging="360"/>
      </w:pPr>
      <w:rPr>
        <w:b w:val="0"/>
        <w:i w:val="0"/>
        <w:color w:val="000000"/>
        <w:sz w:val="20"/>
        <w:szCs w:val="20"/>
      </w:rPr>
    </w:lvl>
    <w:lvl w:ilvl="8">
      <w:start w:val="1"/>
      <w:numFmt w:val="decimal"/>
      <w:lvlText w:val="%9"/>
      <w:lvlJc w:val="right"/>
      <w:pPr>
        <w:ind w:left="6480" w:hanging="360"/>
      </w:pPr>
      <w:rPr>
        <w:rFonts w:ascii="Verdana" w:cs="Verdana" w:eastAsia="Verdana" w:hAnsi="Verdana"/>
        <w:b w:val="0"/>
        <w:i w:val="0"/>
        <w:sz w:val="20"/>
        <w:szCs w:val="20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color w:val="000000"/>
        <w:sz w:val="20"/>
        <w:szCs w:val="20"/>
      </w:rPr>
    </w:lvl>
    <w:lvl w:ilvl="4">
      <w:start w:val="1"/>
      <w:numFmt w:val="decimal"/>
      <w:lvlText w:val=""/>
      <w:lvlJc w:val="left"/>
      <w:pPr>
        <w:ind w:left="360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5">
      <w:start w:val="1"/>
      <w:numFmt w:val="decimal"/>
      <w:lvlText w:val=""/>
      <w:lvlJc w:val="right"/>
      <w:pPr>
        <w:ind w:left="432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6">
      <w:start w:val="1"/>
      <w:numFmt w:val="decimal"/>
      <w:lvlText w:val=""/>
      <w:lvlJc w:val="left"/>
      <w:pPr>
        <w:ind w:left="50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5760" w:hanging="360"/>
      </w:pPr>
      <w:rPr>
        <w:b w:val="0"/>
        <w:i w:val="0"/>
        <w:color w:val="000000"/>
        <w:sz w:val="20"/>
        <w:szCs w:val="20"/>
      </w:rPr>
    </w:lvl>
    <w:lvl w:ilvl="8">
      <w:start w:val="1"/>
      <w:numFmt w:val="decimal"/>
      <w:lvlText w:val="%9"/>
      <w:lvlJc w:val="right"/>
      <w:pPr>
        <w:ind w:left="6480" w:hanging="360"/>
      </w:pPr>
      <w:rPr>
        <w:rFonts w:ascii="Verdana" w:cs="Verdana" w:eastAsia="Verdana" w:hAnsi="Verdana"/>
        <w:b w:val="0"/>
        <w:i w:val="0"/>
        <w:sz w:val="20"/>
        <w:szCs w:val="20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/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/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/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/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/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color w:val="000000"/>
        <w:sz w:val="20"/>
        <w:szCs w:val="20"/>
      </w:rPr>
    </w:lvl>
    <w:lvl w:ilvl="4">
      <w:start w:val="1"/>
      <w:numFmt w:val="decimal"/>
      <w:lvlText w:val=""/>
      <w:lvlJc w:val="left"/>
      <w:pPr>
        <w:ind w:left="360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5">
      <w:start w:val="1"/>
      <w:numFmt w:val="decimal"/>
      <w:lvlText w:val=""/>
      <w:lvlJc w:val="right"/>
      <w:pPr>
        <w:ind w:left="432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6">
      <w:start w:val="1"/>
      <w:numFmt w:val="decimal"/>
      <w:lvlText w:val=""/>
      <w:lvlJc w:val="left"/>
      <w:pPr>
        <w:ind w:left="50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5760" w:hanging="360"/>
      </w:pPr>
      <w:rPr>
        <w:b w:val="0"/>
        <w:i w:val="0"/>
        <w:color w:val="000000"/>
        <w:sz w:val="20"/>
        <w:szCs w:val="20"/>
      </w:rPr>
    </w:lvl>
    <w:lvl w:ilvl="8">
      <w:start w:val="1"/>
      <w:numFmt w:val="decimal"/>
      <w:lvlText w:val="%9"/>
      <w:lvlJc w:val="right"/>
      <w:pPr>
        <w:ind w:left="6480" w:hanging="360"/>
      </w:pPr>
      <w:rPr>
        <w:rFonts w:ascii="Verdana" w:cs="Verdana" w:eastAsia="Verdana" w:hAnsi="Verdana"/>
        <w:b w:val="0"/>
        <w:i w:val="0"/>
        <w:sz w:val="20"/>
        <w:szCs w:val="20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color w:val="000000"/>
        <w:sz w:val="20"/>
        <w:szCs w:val="20"/>
      </w:rPr>
    </w:lvl>
    <w:lvl w:ilvl="4">
      <w:start w:val="1"/>
      <w:numFmt w:val="decimal"/>
      <w:lvlText w:val=""/>
      <w:lvlJc w:val="left"/>
      <w:pPr>
        <w:ind w:left="360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5">
      <w:start w:val="1"/>
      <w:numFmt w:val="decimal"/>
      <w:lvlText w:val=""/>
      <w:lvlJc w:val="right"/>
      <w:pPr>
        <w:ind w:left="432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6">
      <w:start w:val="1"/>
      <w:numFmt w:val="decimal"/>
      <w:lvlText w:val=""/>
      <w:lvlJc w:val="left"/>
      <w:pPr>
        <w:ind w:left="50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5760" w:hanging="360"/>
      </w:pPr>
      <w:rPr>
        <w:b w:val="0"/>
        <w:i w:val="0"/>
        <w:color w:val="000000"/>
        <w:sz w:val="20"/>
        <w:szCs w:val="20"/>
      </w:rPr>
    </w:lvl>
    <w:lvl w:ilvl="8">
      <w:start w:val="1"/>
      <w:numFmt w:val="decimal"/>
      <w:lvlText w:val="%9"/>
      <w:lvlJc w:val="right"/>
      <w:pPr>
        <w:ind w:left="6480" w:hanging="360"/>
      </w:pPr>
      <w:rPr>
        <w:rFonts w:ascii="Verdana" w:cs="Verdana" w:eastAsia="Verdana" w:hAnsi="Verdana"/>
        <w:b w:val="0"/>
        <w:i w:val="0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0"/>
        <w:i w:val="0"/>
        <w:color w:val="000000"/>
        <w:sz w:val="16"/>
        <w:szCs w:val="16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/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b w:val="0"/>
        <w:i w:val="0"/>
        <w:color w:val="000000"/>
        <w:sz w:val="20"/>
        <w:szCs w:val="20"/>
      </w:rPr>
    </w:lvl>
    <w:lvl w:ilvl="4">
      <w:start w:val="1"/>
      <w:numFmt w:val="decimal"/>
      <w:lvlText w:val=""/>
      <w:lvlJc w:val="left"/>
      <w:pPr>
        <w:ind w:left="3600" w:hanging="360"/>
      </w:pPr>
      <w:rPr>
        <w:rFonts w:ascii="Verdana" w:cs="Verdana" w:eastAsia="Verdana" w:hAnsi="Verdana"/>
        <w:b w:val="0"/>
        <w:i w:val="0"/>
        <w:sz w:val="20"/>
        <w:szCs w:val="20"/>
      </w:rPr>
    </w:lvl>
    <w:lvl w:ilvl="5">
      <w:start w:val="1"/>
      <w:numFmt w:val="decimal"/>
      <w:lvlText w:val=""/>
      <w:lvlJc w:val="right"/>
      <w:pPr>
        <w:ind w:left="432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6">
      <w:start w:val="1"/>
      <w:numFmt w:val="decimal"/>
      <w:lvlText w:val=""/>
      <w:lvlJc w:val="left"/>
      <w:pPr>
        <w:ind w:left="5040" w:hanging="360"/>
      </w:pPr>
      <w:rPr>
        <w:rFonts w:ascii="Verdana" w:cs="Verdana" w:eastAsia="Verdana" w:hAnsi="Verdana"/>
        <w:b w:val="0"/>
        <w:i w:val="0"/>
        <w:color w:val="000000"/>
        <w:sz w:val="20"/>
        <w:szCs w:val="20"/>
      </w:rPr>
    </w:lvl>
    <w:lvl w:ilvl="7">
      <w:start w:val="1"/>
      <w:numFmt w:val="decimal"/>
      <w:lvlText w:val=""/>
      <w:lvlJc w:val="left"/>
      <w:pPr>
        <w:ind w:left="5760" w:hanging="360"/>
      </w:pPr>
      <w:rPr>
        <w:b w:val="0"/>
        <w:i w:val="0"/>
        <w:color w:val="000000"/>
        <w:sz w:val="20"/>
        <w:szCs w:val="20"/>
      </w:rPr>
    </w:lvl>
    <w:lvl w:ilvl="8">
      <w:start w:val="1"/>
      <w:numFmt w:val="decimal"/>
      <w:lvlText w:val="%9"/>
      <w:lvlJc w:val="right"/>
      <w:pPr>
        <w:ind w:left="6480" w:hanging="360"/>
      </w:pPr>
      <w:rPr>
        <w:rFonts w:ascii="Verdana" w:cs="Verdana" w:eastAsia="Verdana" w:hAnsi="Verdana"/>
        <w:b w:val="0"/>
        <w:i w:val="0"/>
        <w:sz w:val="20"/>
        <w:szCs w:val="20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color w:val="0070c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0x010100C845CFC9110C684A8EDAF595D1713A2E</vt:lpwstr>
  </property>
  <property fmtid="{D5CDD505-2E9C-101B-9397-08002B2CF9AE}" pid="3" name="GrammarlyDocumentId">
    <vt:lpwstr>b7ab1431864c1f6779009ba632e680f31531cba9bd31c3bbfc7418e937cec2d3</vt:lpwstr>
  </property>
</Properties>
</file>