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 Card</w:t>
      </w:r>
    </w:p>
    <w:p>
      <w:pPr>
        <w:spacing w:after="60"/>
      </w:pPr>
      <w:r>
        <w:rPr>
          <w:b/>
          <w:bCs/>
          <w:sz w:val="26"/>
          <w:szCs w:val="26"/>
        </w:rPr>
        <w:t xml:space="preserve">Bikeshop Orders Database (Synthetic)</w:t>
      </w:r>
    </w:p>
    <w:p>
      <w:pPr>
        <w:pBdr>
          <w:bottom w:val="single" w:color="1F4E79" w:sz="8" w:space="8"/>
        </w:pBdr>
        <w:spacing w:after="260"/>
      </w:pPr>
      <w:r>
        <w:rPr>
          <w:color w:val="595959"/>
          <w:sz w:val="19"/>
          <w:szCs w:val="19"/>
        </w:rPr>
        <w:t xml:space="preserve">Repository: Bikes_forecast   ·   Ella Ndalla, ndallaella@gmail.com</w:t>
      </w:r>
    </w:p>
    <w:p>
      <w:r>
        <w:t xml:space="preserve">A synthetic relational sales database for a fictitious bicycle manufacturer selling through independent bikeshops, used to forecast quarterly revenue with AutoARIMA and an LSTM. Three tables: bike catalog, bikeshop registry, and order lines.</w:t>
      </w:r>
    </w:p>
    <w:p>
      <w:pPr>
        <w:pStyle w:val="Heading1"/>
      </w:pPr>
      <w:r>
        <w:t xml:space="preserve">Provenance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Source: Synthetic dataset generated in Python (Business Science teaching dataset lineage)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Snapshot: Order history spanning 2011-2015 in the raw file, presented as 2020-2024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License / terms: MIT, as part of this repository. No third-party restrictions — the data is generated, not collected.</w:t>
      </w:r>
    </w:p>
    <w:p>
      <w:pPr>
        <w:pStyle w:val="Heading2"/>
      </w:pPr>
      <w:r>
        <w:t xml:space="preserve">Collection</w:t>
      </w:r>
    </w:p>
    <w:p>
      <w:r>
        <w:t xml:space="preserve">Fully synthetic. Records were generated programmatically; no real company, shop, customer, or transaction is represented. Raw source files are Excel workbooks in 00_data_raw/, loaded into a SQLite database at 01_database/bike_orders_database.sqlite via collect_data() in 02_SRC/database.py.</w:t>
      </w:r>
    </w:p>
    <w:p>
      <w:pPr>
        <w:pStyle w:val="Heading2"/>
      </w:pPr>
      <w:r>
        <w:t xml:space="preserve">Maintenance</w:t>
      </w:r>
    </w:p>
    <w:p>
      <w:r>
        <w:t xml:space="preserve">Static. Regenerating or extending the series requires re-running the generator; there is no scheduled refresh.</w:t>
      </w:r>
    </w:p>
    <w:p>
      <w:pPr>
        <w:pStyle w:val="Heading1"/>
      </w:pPr>
      <w:r>
        <w:t xml:space="preserve">Construction</w:t>
      </w:r>
    </w:p>
    <w:p>
      <w:pPr>
        <w:pStyle w:val="Heading2"/>
      </w:pPr>
      <w:r>
        <w:t xml:space="preserve">Labeling</w:t>
      </w:r>
    </w:p>
    <w:p>
      <w:r>
        <w:t xml:space="preserve">No labels in the supervised sense. The forecasting target is monthly aggregated revenue, derived arithmetically as quantity x price and rolled up by summarize_by_time().</w:t>
      </w:r>
    </w:p>
    <w:p>
      <w:pPr>
        <w:pStyle w:val="Heading2"/>
      </w:pPr>
      <w:r>
        <w:t xml:space="preserve">Preprocessing</w:t>
      </w:r>
    </w:p>
    <w:p>
      <w:r>
        <w:t xml:space="preserve">Date parsing; category and location strings split into component fields; monthly time-series aggregation by shop, category, and sub-category. For the LSTM, inputs are Min-Max scaled and windowed with a 3-month look-back across all 30 bikeshops simultaneously; the scaler is fit only on the training split to prevent leakage.</w:t>
      </w:r>
    </w:p>
    <w:p>
      <w:pPr>
        <w:pStyle w:val="Heading2"/>
      </w:pPr>
      <w:r>
        <w:t xml:space="preserve">Splits</w:t>
      </w:r>
    </w:p>
    <w:p>
      <w:r>
        <w:t xml:space="preserve">Last 3 months held out as a true out-of-sample window for both models. Train/validation/test split is applied BEFORE scaling. Both models are scored on the same holdout via evaluate_arima_holdout() so MASE figures are comparable.</w:t>
      </w:r>
    </w:p>
    <w:p>
      <w:pPr>
        <w:pStyle w:val="Heading1"/>
      </w:pPr>
      <w:r>
        <w:t xml:space="preserve">Sensitive &amp; Personal Data</w:t>
      </w:r>
    </w:p>
    <w:p>
      <w:r>
        <w:t xml:space="preserve">None. The data is synthetic — no personal, financial, or commercially confidential information is present.</w:t>
      </w:r>
    </w:p>
    <w:p>
      <w:pPr>
        <w:pStyle w:val="Heading1"/>
      </w:pPr>
      <w:r>
        <w:t xml:space="preserve">Intended Use</w:t>
      </w:r>
    </w:p>
    <w:p>
      <w:pPr>
        <w:pStyle w:val="Heading2"/>
      </w:pPr>
      <w:r>
        <w:t xml:space="preserve">Recommended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Demonstrating time-series forecasting workflow and MASE-based evaluation against a naive baseline.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Teaching relational-to-time-series aggregation patterns.</w:t>
      </w:r>
    </w:p>
    <w:p>
      <w:pPr>
        <w:pStyle w:val="Heading2"/>
      </w:pPr>
      <w:r>
        <w:t xml:space="preserve">Discouraged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Drawing any conclusion about the real bicycle retail market.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Treating the dollar error figures as calibrated to real revenue scales.</w:t>
      </w:r>
    </w:p>
    <w:p>
      <w:pPr>
        <w:pStyle w:val="Heading1"/>
      </w:pPr>
      <w:r>
        <w:t xml:space="preserve">Known Issues, Skews &amp; Gaps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committed database is substantially smaller than the README states. Profiled counts: bikes 97 rows (README says 4,753), bikeshops 30 (README says 93), orderlines 15,644 (README says 109,514). The raw Excel files in 00_data_raw/ match the profiled numbers, so the README figures appear to describe a different or expanded generation run. The 30 bikeshops figure is consistent with the modeling code, which trains across 30 series.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Missing values: none in any of the three tables.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orderlines carries an unnamed index column inherited from the Excel export.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Profiled order dates run 2011-01-07 to 2015-12-25, while the README and dashboard present the series as 2020-2024. The series is shifted for presentation, so absolute dates are not meaningful and the 'Q1 2025 forecast' is a relabeled Q1 2016.</w:t>
      </w:r>
    </w:p>
    <w:p>
      <w:pPr>
        <w:pStyle w:val="Heading1"/>
      </w:pPr>
      <w:r>
        <w:t xml:space="preserve">Profiled Schema</w:t>
      </w:r>
    </w:p>
    <w:p>
      <w:pPr>
        <w:pStyle w:val="Heading2"/>
      </w:pPr>
      <w:r>
        <w:t xml:space="preserve">bikes</w:t>
      </w:r>
    </w:p>
    <w:p>
      <w:pPr>
        <w:spacing w:after="80"/>
      </w:pPr>
      <w:r>
        <w:rPr>
          <w:color w:val="595959"/>
          <w:sz w:val="19"/>
          <w:szCs w:val="19"/>
        </w:rPr>
        <w:t xml:space="preserve">Rows: 97   ·   Columns: 4   ·   Duplicate rows: 0</w:t>
      </w:r>
    </w:p>
    <w:p>
      <w:pPr>
        <w:spacing w:after="10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Source file: Bikes_forecast/01_database/bike_orders_database.sqlite</w:t>
      </w:r>
    </w:p>
    <w:p>
      <w:pPr>
        <w:pBdr>
          <w:left w:val="single" w:color="1F4E79" w:sz="12" w:space="8"/>
        </w:pBdr>
        <w:spacing w:after="140"/>
        <w:ind w:left="200"/>
      </w:pPr>
      <w:r>
        <w:rPr>
          <w:i/>
          <w:iCs/>
          <w:color w:val="333333"/>
          <w:sz w:val="19"/>
          <w:szCs w:val="19"/>
        </w:rPr>
        <w:t xml:space="preserve">Full tables profiled.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3060"/>
        <w:gridCol w:w="1240"/>
        <w:gridCol w:w="900"/>
        <w:gridCol w:w="1180"/>
        <w:gridCol w:w="3700"/>
      </w:tblGrid>
      <w:tr>
        <w:trPr>
          <w:tblHeader/>
        </w:trPr>
        <w:tc>
          <w:tcPr>
            <w:tcW w:type="dxa" w:w="30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Field</w:t>
            </w:r>
          </w:p>
        </w:tc>
        <w:tc>
          <w:tcPr>
            <w:tcW w:type="dxa" w:w="124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Null %</w:t>
            </w:r>
          </w:p>
        </w:tc>
        <w:tc>
          <w:tcPr>
            <w:tcW w:type="dxa" w:w="118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Distinct</w:t>
            </w:r>
          </w:p>
        </w:tc>
        <w:tc>
          <w:tcPr>
            <w:tcW w:type="dxa" w:w="37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Range / top values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bike.id</w:t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int64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97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min 1 · med 49 · max 97 · mean 49</w:t>
            </w:r>
          </w:p>
        </w:tc>
      </w:tr>
      <w:tr>
        <w:tc>
          <w:tcPr>
            <w:tcW w:type="dxa" w:w="30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model</w:t>
            </w:r>
          </w:p>
        </w:tc>
        <w:tc>
          <w:tcPr>
            <w:tcW w:type="dxa" w:w="124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97</w:t>
            </w:r>
          </w:p>
        </w:tc>
        <w:tc>
          <w:tcPr>
            <w:tcW w:type="dxa" w:w="37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Mountain - Cross Country Race - Carbon 14.43% · Road - Elite Road - Aluminum 11.34% · Road - Endurance Road - Carbon 11.34%</w:t>
            </w:r>
          </w:p>
        </w:tc>
      </w:tr>
      <w:tr>
        <w:tc>
          <w:tcPr>
            <w:tcW w:type="dxa" w:w="30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price</w:t>
            </w:r>
          </w:p>
        </w:tc>
        <w:tc>
          <w:tcPr>
            <w:tcW w:type="dxa" w:w="124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int64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37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min 415 · med 3,200 · max 12,790 · mean 3,953.76</w:t>
            </w:r>
          </w:p>
        </w:tc>
      </w:tr>
    </w:tbl>
    <w:p>
      <w:pPr>
        <w:pStyle w:val="Heading2"/>
      </w:pPr>
      <w:r>
        <w:t xml:space="preserve">bikeshops</w:t>
      </w:r>
    </w:p>
    <w:p>
      <w:pPr>
        <w:spacing w:after="80"/>
      </w:pPr>
      <w:r>
        <w:rPr>
          <w:color w:val="595959"/>
          <w:sz w:val="19"/>
          <w:szCs w:val="19"/>
        </w:rPr>
        <w:t xml:space="preserve">Rows: 30   ·   Columns: 3   ·   Duplicate rows: 0</w:t>
      </w:r>
    </w:p>
    <w:p>
      <w:pPr>
        <w:spacing w:after="10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Source file: Bikes_forecast/01_database/bike_orders_database.sqlite</w:t>
      </w:r>
    </w:p>
    <w:p>
      <w:pPr>
        <w:pBdr>
          <w:left w:val="single" w:color="1F4E79" w:sz="12" w:space="8"/>
        </w:pBdr>
        <w:spacing w:after="140"/>
        <w:ind w:left="200"/>
      </w:pPr>
      <w:r>
        <w:rPr>
          <w:i/>
          <w:iCs/>
          <w:color w:val="333333"/>
          <w:sz w:val="19"/>
          <w:szCs w:val="19"/>
        </w:rPr>
        <w:t xml:space="preserve">Full tables profiled.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3060"/>
        <w:gridCol w:w="1240"/>
        <w:gridCol w:w="900"/>
        <w:gridCol w:w="1180"/>
        <w:gridCol w:w="3700"/>
      </w:tblGrid>
      <w:tr>
        <w:trPr>
          <w:tblHeader/>
        </w:trPr>
        <w:tc>
          <w:tcPr>
            <w:tcW w:type="dxa" w:w="30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Field</w:t>
            </w:r>
          </w:p>
        </w:tc>
        <w:tc>
          <w:tcPr>
            <w:tcW w:type="dxa" w:w="124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Null %</w:t>
            </w:r>
          </w:p>
        </w:tc>
        <w:tc>
          <w:tcPr>
            <w:tcW w:type="dxa" w:w="118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Distinct</w:t>
            </w:r>
          </w:p>
        </w:tc>
        <w:tc>
          <w:tcPr>
            <w:tcW w:type="dxa" w:w="37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Range / top values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bikeshop.id</w:t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int64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min 1 · med 15.50 · max 30 · mean 15.50</w:t>
            </w:r>
          </w:p>
        </w:tc>
      </w:tr>
      <w:tr>
        <w:tc>
          <w:tcPr>
            <w:tcW w:type="dxa" w:w="30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bikeshop.name</w:t>
            </w:r>
          </w:p>
        </w:tc>
        <w:tc>
          <w:tcPr>
            <w:tcW w:type="dxa" w:w="124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37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location</w:t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</w:pPr>
      <w:r>
        <w:t xml:space="preserve">orderlines</w:t>
      </w:r>
    </w:p>
    <w:p>
      <w:pPr>
        <w:spacing w:after="80"/>
      </w:pPr>
      <w:r>
        <w:rPr>
          <w:color w:val="595959"/>
          <w:sz w:val="19"/>
          <w:szCs w:val="19"/>
        </w:rPr>
        <w:t xml:space="preserve">Rows: 15,644   ·   Columns: 6   ·   Duplicate rows: 0</w:t>
      </w:r>
    </w:p>
    <w:p>
      <w:pPr>
        <w:spacing w:after="10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Source file: Bikes_forecast/01_database/bike_orders_database.sqlite</w:t>
      </w:r>
    </w:p>
    <w:p>
      <w:pPr>
        <w:pBdr>
          <w:left w:val="single" w:color="1F4E79" w:sz="12" w:space="8"/>
        </w:pBdr>
        <w:spacing w:after="140"/>
        <w:ind w:left="200"/>
      </w:pPr>
      <w:r>
        <w:rPr>
          <w:i/>
          <w:iCs/>
          <w:color w:val="333333"/>
          <w:sz w:val="19"/>
          <w:szCs w:val="19"/>
        </w:rPr>
        <w:t xml:space="preserve">Full tables profiled.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3060"/>
        <w:gridCol w:w="1240"/>
        <w:gridCol w:w="900"/>
        <w:gridCol w:w="1180"/>
        <w:gridCol w:w="3700"/>
      </w:tblGrid>
      <w:tr>
        <w:trPr>
          <w:tblHeader/>
        </w:trPr>
        <w:tc>
          <w:tcPr>
            <w:tcW w:type="dxa" w:w="30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Field</w:t>
            </w:r>
          </w:p>
        </w:tc>
        <w:tc>
          <w:tcPr>
            <w:tcW w:type="dxa" w:w="124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Null %</w:t>
            </w:r>
          </w:p>
        </w:tc>
        <w:tc>
          <w:tcPr>
            <w:tcW w:type="dxa" w:w="118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Distinct</w:t>
            </w:r>
          </w:p>
        </w:tc>
        <w:tc>
          <w:tcPr>
            <w:tcW w:type="dxa" w:w="37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Range / top values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order.id</w:t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int64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2,000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min 1 · med 985.5 · max 2,000 · mean 998.0</w:t>
            </w:r>
          </w:p>
        </w:tc>
      </w:tr>
      <w:tr>
        <w:tc>
          <w:tcPr>
            <w:tcW w:type="dxa" w:w="30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order.line</w:t>
            </w:r>
          </w:p>
        </w:tc>
        <w:tc>
          <w:tcPr>
            <w:tcW w:type="dxa" w:w="124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int64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37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min 1 · med 7 · max 30 · mean 8.472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order.date</w:t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962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customer.id</w:t>
            </w:r>
          </w:p>
        </w:tc>
        <w:tc>
          <w:tcPr>
            <w:tcW w:type="dxa" w:w="124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int64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37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min 1 · med 10 · max 30 · mean 13.46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product.id</w:t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int64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97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min 1 · med 48 · max 97 · mean 49.48</w:t>
            </w:r>
          </w:p>
        </w:tc>
      </w:tr>
      <w:tr>
        <w:tc>
          <w:tcPr>
            <w:tcW w:type="dxa" w:w="30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quantity</w:t>
            </w:r>
          </w:p>
        </w:tc>
        <w:tc>
          <w:tcPr>
            <w:tcW w:type="dxa" w:w="124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int64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7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min 1 · med 1 · max 10 · mean 1.289</w:t>
            </w:r>
          </w:p>
        </w:tc>
      </w:tr>
    </w:tbl>
    <w:p>
      <w:pPr>
        <w:pBdr>
          <w:top w:val="single" w:color="D0D7DE" w:sz="4" w:space="8"/>
        </w:pBdr>
        <w:spacing w:before="360"/>
      </w:pPr>
      <w:r>
        <w:rPr>
          <w:i/>
          <w:iCs/>
          <w:color w:val="595959"/>
          <w:sz w:val="17"/>
          <w:szCs w:val="17"/>
        </w:rPr>
        <w:t xml:space="preserve">Schema, null rates, cardinality, and distributions were computed directly from the committed data. Narrative sections are documented from the project README and source materials.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D0D7DE" w:sz="6" w:space="6"/>
      </w:pBdr>
      <w:spacing w:after="130" w:before="34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20"/>
    </w:pPr>
    <w:rPr>
      <w:b/>
      <w:bCs/>
      <w:color w:val="2F5F8F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70" w:before="180"/>
    </w:pPr>
    <w:rPr>
      <w:b/>
      <w:bCs/>
      <w:color w:val="3B3B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2026-08-02T01:41:31.940Z</dcterms:created>
  <dcterms:modified xsi:type="dcterms:W3CDTF">2026-08-02T01:41:31.940Z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