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595959"/>
          <w:spacing w:val="60"/>
          <w:sz w:val="20"/>
          <w:szCs w:val="20"/>
        </w:rPr>
        <w:t xml:space="preserve">ML DESIGN DOCUMENT</w:t>
      </w:r>
    </w:p>
    <w:p>
      <w:pPr>
        <w:pStyle w:val="Title"/>
      </w:pPr>
      <w:r>
        <w:t xml:space="preserve">Bikeshop Revenue Forecasting</w:t>
      </w:r>
    </w:p>
    <w:p>
      <w:pPr>
        <w:spacing w:after="240"/>
      </w:pPr>
      <w:r>
        <w:rPr>
          <w:color w:val="2F5F8F"/>
          <w:sz w:val="24"/>
          <w:szCs w:val="24"/>
        </w:rPr>
        <w:t xml:space="preserve">AutoARIMA and multivariate LSTM behind a deployed Streamlit dashboard</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7440"/>
      </w:tblGrid>
      <w:tr>
        <w:tc>
          <w:tcPr>
            <w:tcW w:type="dxa" w:w="2400"/>
            <w:tcMar>
              <w:top w:type="dxa" w:w="70"/>
              <w:left w:type="dxa" w:w="110"/>
              <w:bottom w:type="dxa" w:w="70"/>
              <w:right w:type="dxa" w:w="110"/>
            </w:tcMar>
          </w:tcPr>
          <w:p>
            <w:pPr>
              <w:spacing w:after="0" w:line="250"/>
            </w:pPr>
            <w:r>
              <w:rPr>
                <w:b/>
                <w:bCs/>
                <w:color w:val="1F4E79"/>
                <w:sz w:val="18"/>
                <w:szCs w:val="18"/>
              </w:rPr>
              <w:t xml:space="preserve">Repository</w:t>
            </w:r>
          </w:p>
        </w:tc>
        <w:tc>
          <w:tcPr>
            <w:tcW w:type="dxa" w:w="7440"/>
            <w:tcMar>
              <w:top w:type="dxa" w:w="70"/>
              <w:left w:type="dxa" w:w="110"/>
              <w:bottom w:type="dxa" w:w="70"/>
              <w:right w:type="dxa" w:w="110"/>
            </w:tcMar>
          </w:tcPr>
          <w:p>
            <w:pPr>
              <w:spacing w:after="0" w:line="250"/>
            </w:pPr>
            <w:r>
              <w:rPr>
                <w:b w:val="false"/>
                <w:bCs w:val="false"/>
                <w:sz w:val="18"/>
                <w:szCs w:val="18"/>
              </w:rPr>
              <w:t xml:space="preserve">Bikes_forecast</w:t>
            </w:r>
          </w:p>
        </w:tc>
      </w:tr>
      <w:tr>
        <w:tc>
          <w:tcPr>
            <w:tcW w:type="dxa" w:w="2400"/>
            <w:shd w:fill="F7F9FB" w:color="auto" w:val="clear"/>
            <w:tcMar>
              <w:top w:type="dxa" w:w="70"/>
              <w:left w:type="dxa" w:w="110"/>
              <w:bottom w:type="dxa" w:w="70"/>
              <w:right w:type="dxa" w:w="110"/>
            </w:tcMar>
          </w:tcPr>
          <w:p>
            <w:pPr>
              <w:spacing w:after="0" w:line="250"/>
            </w:pPr>
            <w:r>
              <w:rPr>
                <w:b/>
                <w:bCs/>
                <w:color w:val="1F4E79"/>
                <w:sz w:val="18"/>
                <w:szCs w:val="18"/>
              </w:rPr>
              <w:t xml:space="preserve">Author</w:t>
            </w:r>
          </w:p>
        </w:tc>
        <w:tc>
          <w:tcPr>
            <w:tcW w:type="dxa" w:w="7440"/>
            <w:shd w:fill="F7F9FB" w:color="auto" w:val="clear"/>
            <w:tcMar>
              <w:top w:type="dxa" w:w="70"/>
              <w:left w:type="dxa" w:w="110"/>
              <w:bottom w:type="dxa" w:w="70"/>
              <w:right w:type="dxa" w:w="110"/>
            </w:tcMar>
          </w:tcPr>
          <w:p>
            <w:pPr>
              <w:spacing w:after="0" w:line="250"/>
            </w:pPr>
            <w:r>
              <w:rPr>
                <w:b w:val="false"/>
                <w:bCs w:val="false"/>
                <w:sz w:val="18"/>
                <w:szCs w:val="18"/>
              </w:rPr>
              <w:t xml:space="preserve">Ella Ndalla (ndallaella@gmail.com)</w:t>
            </w:r>
          </w:p>
        </w:tc>
      </w:tr>
      <w:tr>
        <w:tc>
          <w:tcPr>
            <w:tcW w:type="dxa" w:w="2400"/>
            <w:tcMar>
              <w:top w:type="dxa" w:w="70"/>
              <w:left w:type="dxa" w:w="110"/>
              <w:bottom w:type="dxa" w:w="70"/>
              <w:right w:type="dxa" w:w="110"/>
            </w:tcMar>
          </w:tcPr>
          <w:p>
            <w:pPr>
              <w:spacing w:after="0" w:line="250"/>
            </w:pPr>
            <w:r>
              <w:rPr>
                <w:b/>
                <w:bCs/>
                <w:color w:val="1F4E79"/>
                <w:sz w:val="18"/>
                <w:szCs w:val="18"/>
              </w:rPr>
              <w:t xml:space="preserve">Status</w:t>
            </w:r>
          </w:p>
        </w:tc>
        <w:tc>
          <w:tcPr>
            <w:tcW w:type="dxa" w:w="7440"/>
            <w:tcMar>
              <w:top w:type="dxa" w:w="70"/>
              <w:left w:type="dxa" w:w="110"/>
              <w:bottom w:type="dxa" w:w="70"/>
              <w:right w:type="dxa" w:w="110"/>
            </w:tcMar>
          </w:tcPr>
          <w:p>
            <w:pPr>
              <w:spacing w:after="0" w:line="250"/>
            </w:pPr>
            <w:r>
              <w:rPr>
                <w:b w:val="false"/>
                <w:bCs w:val="false"/>
                <w:sz w:val="18"/>
                <w:szCs w:val="18"/>
              </w:rPr>
              <w:t xml:space="preserve">As-built — deployed to Google Cloud Run</w:t>
            </w:r>
          </w:p>
        </w:tc>
      </w:tr>
      <w:tr>
        <w:tc>
          <w:tcPr>
            <w:tcW w:type="dxa" w:w="2400"/>
            <w:shd w:fill="F7F9FB" w:color="auto" w:val="clear"/>
            <w:tcMar>
              <w:top w:type="dxa" w:w="70"/>
              <w:left w:type="dxa" w:w="110"/>
              <w:bottom w:type="dxa" w:w="70"/>
              <w:right w:type="dxa" w:w="110"/>
            </w:tcMar>
          </w:tcPr>
          <w:p>
            <w:pPr>
              <w:spacing w:after="0" w:line="250"/>
            </w:pPr>
            <w:r>
              <w:rPr>
                <w:b/>
                <w:bCs/>
                <w:color w:val="1F4E79"/>
                <w:sz w:val="18"/>
                <w:szCs w:val="18"/>
              </w:rPr>
              <w:t xml:space="preserve">Date</w:t>
            </w:r>
          </w:p>
        </w:tc>
        <w:tc>
          <w:tcPr>
            <w:tcW w:type="dxa" w:w="7440"/>
            <w:shd w:fill="F7F9FB" w:color="auto" w:val="clear"/>
            <w:tcMar>
              <w:top w:type="dxa" w:w="70"/>
              <w:left w:type="dxa" w:w="110"/>
              <w:bottom w:type="dxa" w:w="70"/>
              <w:right w:type="dxa" w:w="110"/>
            </w:tcMar>
          </w:tcPr>
          <w:p>
            <w:pPr>
              <w:spacing w:after="0" w:line="250"/>
            </w:pPr>
            <w:r>
              <w:rPr>
                <w:b w:val="false"/>
                <w:bCs w:val="false"/>
                <w:sz w:val="18"/>
                <w:szCs w:val="18"/>
              </w:rPr>
              <w:t xml:space="preserve">2026-08-01</w:t>
            </w:r>
          </w:p>
        </w:tc>
      </w:tr>
      <w:tr>
        <w:tc>
          <w:tcPr>
            <w:tcW w:type="dxa" w:w="2400"/>
            <w:tcMar>
              <w:top w:type="dxa" w:w="70"/>
              <w:left w:type="dxa" w:w="110"/>
              <w:bottom w:type="dxa" w:w="70"/>
              <w:right w:type="dxa" w:w="110"/>
            </w:tcMar>
          </w:tcPr>
          <w:p>
            <w:pPr>
              <w:spacing w:after="0" w:line="250"/>
            </w:pPr>
            <w:r>
              <w:rPr>
                <w:b/>
                <w:bCs/>
                <w:color w:val="1F4E79"/>
                <w:sz w:val="18"/>
                <w:szCs w:val="18"/>
              </w:rPr>
              <w:t xml:space="preserve">Related</w:t>
            </w:r>
          </w:p>
        </w:tc>
        <w:tc>
          <w:tcPr>
            <w:tcW w:type="dxa" w:w="7440"/>
            <w:tcMar>
              <w:top w:type="dxa" w:w="70"/>
              <w:left w:type="dxa" w:w="110"/>
              <w:bottom w:type="dxa" w:w="70"/>
              <w:right w:type="dxa" w:w="110"/>
            </w:tcMar>
          </w:tcPr>
          <w:p>
            <w:pPr>
              <w:spacing w:after="0" w:line="250"/>
            </w:pPr>
            <w:r>
              <w:rPr>
                <w:b w:val="false"/>
                <w:bCs w:val="false"/>
                <w:sz w:val="18"/>
                <w:szCs w:val="18"/>
              </w:rPr>
              <w:t xml:space="preserve">model_cards/model_card.docx · data_cards/data_card.docx</w:t>
            </w:r>
          </w:p>
        </w:tc>
      </w:tr>
    </w:tbl>
    <w:p>
      <w:pPr>
        <w:spacing w:before="320"/>
      </w:pPr>
      <w:r>
        <w:t xml:space="preserve">Forecasts quarterly revenue for 30 bikeshops using two complementary models: AutoARIMA fit independently per series, and a single LSTM trained jointly across all shops. Both are scored against a naive last-value baseline on a true 3-month holdout, and results are surfaced through a Streamlit dashboard on Cloud Run.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595959"/>
          <w:sz w:val="17"/>
          <w:szCs w:val="17"/>
        </w:rPr>
        <w:t xml:space="preserve">To populate this table in Word: select it, then press F9 (or right-click → Update Field).</w:t>
      </w:r>
    </w:p>
    <w:p>
      <w:r>
        <w:br w:type="page"/>
      </w:r>
    </w:p>
    <w:p>
      <w:pPr>
        <w:pStyle w:val="Heading1"/>
      </w:pPr>
      <w:r>
        <w:t xml:space="preserve">1. Problem Statement</w:t>
      </w:r>
    </w:p>
    <w:p>
      <w:r>
        <w:t xml:space="preserve">Sales planning needs revenue forecasts at several grains at once — total, by category, by sub-category, and by individual bikeshop. Per-series statistical models handle this naturally but ignore cross-shop signal; a joint neural model captures shared structure but produces no uncertainty bounds. The project builds both and makes the comparison explicit rather than picking one on faith.</w:t>
      </w:r>
    </w:p>
    <w:p>
      <w:pPr>
        <w:pStyle w:val="Heading2"/>
      </w:pPr>
      <w:r>
        <w:t xml:space="preserve">Goals</w:t>
      </w:r>
    </w:p>
    <w:p>
      <w:pPr>
        <w:pStyle w:val="ListParagraph"/>
        <w:numPr>
          <w:ilvl w:val="0"/>
          <w:numId w:val="2"/>
        </w:numPr>
        <w:spacing w:after="100"/>
      </w:pPr>
      <w:r>
        <w:t xml:space="preserve">Forecast the next quarter's revenue at shop, category, and sub-category grain.</w:t>
      </w:r>
    </w:p>
    <w:p>
      <w:pPr>
        <w:pStyle w:val="ListParagraph"/>
        <w:numPr>
          <w:ilvl w:val="0"/>
          <w:numId w:val="2"/>
        </w:numPr>
        <w:spacing w:after="100"/>
      </w:pPr>
      <w:r>
        <w:t xml:space="preserve">Score every model against a naive baseline on a genuine out-of-sample window.</w:t>
      </w:r>
    </w:p>
    <w:p>
      <w:pPr>
        <w:pStyle w:val="ListParagraph"/>
        <w:numPr>
          <w:ilvl w:val="0"/>
          <w:numId w:val="2"/>
        </w:numPr>
        <w:spacing w:after="100"/>
      </w:pPr>
      <w:r>
        <w:t xml:space="preserve">Make forecasts explorable by non-technical stakeholders without running code.</w:t>
      </w:r>
    </w:p>
    <w:p>
      <w:pPr>
        <w:pStyle w:val="ListParagraph"/>
        <w:numPr>
          <w:ilvl w:val="0"/>
          <w:numId w:val="2"/>
        </w:numPr>
        <w:spacing w:after="100"/>
      </w:pPr>
      <w:r>
        <w:t xml:space="preserve">Keep the deployed app lightweight enough to scale to zero.</w:t>
      </w:r>
    </w:p>
    <w:p>
      <w:pPr>
        <w:pStyle w:val="Heading2"/>
      </w:pPr>
      <w:r>
        <w:t xml:space="preserve">Non-goals</w:t>
      </w:r>
    </w:p>
    <w:p>
      <w:pPr>
        <w:pStyle w:val="ListParagraph"/>
        <w:numPr>
          <w:ilvl w:val="0"/>
          <w:numId w:val="2"/>
        </w:numPr>
        <w:spacing w:after="100"/>
      </w:pPr>
      <w:r>
        <w:t xml:space="preserve">Retraining on a schedule — predictions are pre-computed and committed.</w:t>
      </w:r>
    </w:p>
    <w:p>
      <w:pPr>
        <w:pStyle w:val="ListParagraph"/>
        <w:numPr>
          <w:ilvl w:val="0"/>
          <w:numId w:val="2"/>
        </w:numPr>
        <w:spacing w:after="100"/>
      </w:pPr>
      <w:r>
        <w:t xml:space="preserve">Real-time or intraday forecasting.</w:t>
      </w:r>
    </w:p>
    <w:p>
      <w:pPr>
        <w:pStyle w:val="ListParagraph"/>
        <w:numPr>
          <w:ilvl w:val="0"/>
          <w:numId w:val="2"/>
        </w:numPr>
        <w:spacing w:after="100"/>
      </w:pPr>
      <w:r>
        <w:t xml:space="preserve">Price or promotion optimization.</w:t>
      </w:r>
    </w:p>
    <w:p>
      <w:pPr>
        <w:pStyle w:val="Heading1"/>
      </w:pPr>
      <w:r>
        <w:t xml:space="preserve">2. Requirements &amp; Constraints</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1500"/>
        <w:gridCol w:w="4200"/>
        <w:gridCol w:w="4140"/>
      </w:tblGrid>
      <w:tr>
        <w:trPr>
          <w:tblHeader/>
        </w:trPr>
        <w:tc>
          <w:tcPr>
            <w:tcW w:type="dxa" w:w="1500"/>
            <w:shd w:fill="EEF3F8" w:color="auto" w:val="clear"/>
            <w:tcMar>
              <w:top w:type="dxa" w:w="70"/>
              <w:left w:type="dxa" w:w="110"/>
              <w:bottom w:type="dxa" w:w="70"/>
              <w:right w:type="dxa" w:w="110"/>
            </w:tcMar>
          </w:tcPr>
          <w:p>
            <w:pPr>
              <w:spacing w:after="0" w:line="250"/>
            </w:pPr>
            <w:r>
              <w:rPr>
                <w:b/>
                <w:bCs/>
                <w:color w:val="1F4E79"/>
                <w:sz w:val="18"/>
                <w:szCs w:val="18"/>
              </w:rPr>
              <w:t xml:space="preserve">Type</w:t>
            </w:r>
          </w:p>
        </w:tc>
        <w:tc>
          <w:tcPr>
            <w:tcW w:type="dxa" w:w="4200"/>
            <w:shd w:fill="EEF3F8" w:color="auto" w:val="clear"/>
            <w:tcMar>
              <w:top w:type="dxa" w:w="70"/>
              <w:left w:type="dxa" w:w="110"/>
              <w:bottom w:type="dxa" w:w="70"/>
              <w:right w:type="dxa" w:w="110"/>
            </w:tcMar>
          </w:tcPr>
          <w:p>
            <w:pPr>
              <w:spacing w:after="0" w:line="250"/>
            </w:pPr>
            <w:r>
              <w:rPr>
                <w:b/>
                <w:bCs/>
                <w:color w:val="1F4E79"/>
                <w:sz w:val="18"/>
                <w:szCs w:val="18"/>
              </w:rPr>
              <w:t xml:space="preserve">Requirement</w:t>
            </w:r>
          </w:p>
        </w:tc>
        <w:tc>
          <w:tcPr>
            <w:tcW w:type="dxa" w:w="4140"/>
            <w:shd w:fill="EEF3F8" w:color="auto" w:val="clear"/>
            <w:tcMar>
              <w:top w:type="dxa" w:w="70"/>
              <w:left w:type="dxa" w:w="110"/>
              <w:bottom w:type="dxa" w:w="70"/>
              <w:right w:type="dxa" w:w="110"/>
            </w:tcMar>
          </w:tcPr>
          <w:p>
            <w:pPr>
              <w:spacing w:after="0" w:line="250"/>
            </w:pPr>
            <w:r>
              <w:rPr>
                <w:b/>
                <w:bCs/>
                <w:color w:val="1F4E79"/>
                <w:sz w:val="18"/>
                <w:szCs w:val="18"/>
              </w:rPr>
              <w:t xml:space="preserve">Current state</w:t>
            </w:r>
          </w:p>
        </w:tc>
      </w:tr>
      <w:tr>
        <w:tc>
          <w:tcPr>
            <w:tcW w:type="dxa" w:w="1500"/>
            <w:tcMar>
              <w:top w:type="dxa" w:w="70"/>
              <w:left w:type="dxa" w:w="110"/>
              <w:bottom w:type="dxa" w:w="70"/>
              <w:right w:type="dxa" w:w="110"/>
            </w:tcMar>
          </w:tcPr>
          <w:p>
            <w:pPr>
              <w:spacing w:after="0" w:line="250"/>
            </w:pPr>
            <w:r>
              <w:rPr>
                <w:b/>
                <w:bCs/>
                <w:sz w:val="18"/>
                <w:szCs w:val="18"/>
              </w:rPr>
              <w:t xml:space="preserve">Functional</w:t>
            </w:r>
          </w:p>
        </w:tc>
        <w:tc>
          <w:tcPr>
            <w:tcW w:type="dxa" w:w="4200"/>
            <w:tcMar>
              <w:top w:type="dxa" w:w="70"/>
              <w:left w:type="dxa" w:w="110"/>
              <w:bottom w:type="dxa" w:w="70"/>
              <w:right w:type="dxa" w:w="110"/>
            </w:tcMar>
          </w:tcPr>
          <w:p>
            <w:pPr>
              <w:spacing w:after="0" w:line="250"/>
            </w:pPr>
            <w:r>
              <w:rPr>
                <w:b w:val="false"/>
                <w:bCs w:val="false"/>
                <w:sz w:val="18"/>
                <w:szCs w:val="18"/>
              </w:rPr>
              <w:t xml:space="preserve">Forecast at three grains with a single interface</w:t>
            </w:r>
          </w:p>
        </w:tc>
        <w:tc>
          <w:tcPr>
            <w:tcW w:type="dxa" w:w="4140"/>
            <w:tcMar>
              <w:top w:type="dxa" w:w="70"/>
              <w:left w:type="dxa" w:w="110"/>
              <w:bottom w:type="dxa" w:w="70"/>
              <w:right w:type="dxa" w:w="110"/>
            </w:tcMar>
          </w:tcPr>
          <w:p>
            <w:pPr>
              <w:spacing w:after="0" w:line="250"/>
            </w:pPr>
            <w:r>
              <w:rPr>
                <w:b w:val="false"/>
                <w:bCs w:val="false"/>
                <w:sz w:val="18"/>
                <w:szCs w:val="18"/>
              </w:rPr>
              <w:t xml:space="preserve">Met — dropdown for Category / Sub-Category / Bikeshop</w:t>
            </w:r>
          </w:p>
        </w:tc>
      </w:tr>
      <w:tr>
        <w:tc>
          <w:tcPr>
            <w:tcW w:type="dxa" w:w="1500"/>
            <w:shd w:fill="F7F9FB" w:color="auto" w:val="clear"/>
            <w:tcMar>
              <w:top w:type="dxa" w:w="70"/>
              <w:left w:type="dxa" w:w="110"/>
              <w:bottom w:type="dxa" w:w="70"/>
              <w:right w:type="dxa" w:w="110"/>
            </w:tcMar>
          </w:tcPr>
          <w:p>
            <w:pPr>
              <w:spacing w:after="0" w:line="250"/>
            </w:pPr>
            <w:r>
              <w:rPr>
                <w:b/>
                <w:bCs/>
                <w:sz w:val="18"/>
                <w:szCs w:val="18"/>
              </w:rPr>
              <w:t xml:space="preserve">Functional</w:t>
            </w:r>
          </w:p>
        </w:tc>
        <w:tc>
          <w:tcPr>
            <w:tcW w:type="dxa" w:w="4200"/>
            <w:shd w:fill="F7F9FB" w:color="auto" w:val="clear"/>
            <w:tcMar>
              <w:top w:type="dxa" w:w="70"/>
              <w:left w:type="dxa" w:w="110"/>
              <w:bottom w:type="dxa" w:w="70"/>
              <w:right w:type="dxa" w:w="110"/>
            </w:tcMar>
          </w:tcPr>
          <w:p>
            <w:pPr>
              <w:spacing w:after="0" w:line="250"/>
            </w:pPr>
            <w:r>
              <w:rPr>
                <w:b w:val="false"/>
                <w:bCs w:val="false"/>
                <w:sz w:val="18"/>
                <w:szCs w:val="18"/>
              </w:rPr>
              <w:t xml:space="preserve">Every model scored against a naive baseline</w:t>
            </w:r>
          </w:p>
        </w:tc>
        <w:tc>
          <w:tcPr>
            <w:tcW w:type="dxa" w:w="4140"/>
            <w:shd w:fill="F7F9FB" w:color="auto" w:val="clear"/>
            <w:tcMar>
              <w:top w:type="dxa" w:w="70"/>
              <w:left w:type="dxa" w:w="110"/>
              <w:bottom w:type="dxa" w:w="70"/>
              <w:right w:type="dxa" w:w="110"/>
            </w:tcMar>
          </w:tcPr>
          <w:p>
            <w:pPr>
              <w:spacing w:after="0" w:line="250"/>
            </w:pPr>
            <w:r>
              <w:rPr>
                <w:b w:val="false"/>
                <w:bCs w:val="false"/>
                <w:sz w:val="18"/>
                <w:szCs w:val="18"/>
              </w:rPr>
              <w:t xml:space="preserve">Met — MASE reported for LSTM, AutoARIMA, and Naive on the same holdout</w:t>
            </w:r>
          </w:p>
        </w:tc>
      </w:tr>
      <w:tr>
        <w:tc>
          <w:tcPr>
            <w:tcW w:type="dxa" w:w="1500"/>
            <w:tcMar>
              <w:top w:type="dxa" w:w="70"/>
              <w:left w:type="dxa" w:w="110"/>
              <w:bottom w:type="dxa" w:w="70"/>
              <w:right w:type="dxa" w:w="110"/>
            </w:tcMar>
          </w:tcPr>
          <w:p>
            <w:pPr>
              <w:spacing w:after="0" w:line="250"/>
            </w:pPr>
            <w:r>
              <w:rPr>
                <w:b/>
                <w:bCs/>
                <w:sz w:val="18"/>
                <w:szCs w:val="18"/>
              </w:rPr>
              <w:t xml:space="preserve">Functional</w:t>
            </w:r>
          </w:p>
        </w:tc>
        <w:tc>
          <w:tcPr>
            <w:tcW w:type="dxa" w:w="4200"/>
            <w:tcMar>
              <w:top w:type="dxa" w:w="70"/>
              <w:left w:type="dxa" w:w="110"/>
              <w:bottom w:type="dxa" w:w="70"/>
              <w:right w:type="dxa" w:w="110"/>
            </w:tcMar>
          </w:tcPr>
          <w:p>
            <w:pPr>
              <w:spacing w:after="0" w:line="250"/>
            </w:pPr>
            <w:r>
              <w:rPr>
                <w:b w:val="false"/>
                <w:bCs w:val="false"/>
                <w:sz w:val="18"/>
                <w:szCs w:val="18"/>
              </w:rPr>
              <w:t xml:space="preserve">Show uncertainty where the model supports it</w:t>
            </w:r>
          </w:p>
        </w:tc>
        <w:tc>
          <w:tcPr>
            <w:tcW w:type="dxa" w:w="4140"/>
            <w:tcMar>
              <w:top w:type="dxa" w:w="70"/>
              <w:left w:type="dxa" w:w="110"/>
              <w:bottom w:type="dxa" w:w="70"/>
              <w:right w:type="dxa" w:w="110"/>
            </w:tcMar>
          </w:tcPr>
          <w:p>
            <w:pPr>
              <w:spacing w:after="0" w:line="250"/>
            </w:pPr>
            <w:r>
              <w:rPr>
                <w:b w:val="false"/>
                <w:bCs w:val="false"/>
                <w:sz w:val="18"/>
                <w:szCs w:val="18"/>
              </w:rPr>
              <w:t xml:space="preserve">Partially met — AutoARIMA gives 95% intervals; the LSTM gives point forecasts only</w:t>
            </w:r>
          </w:p>
        </w:tc>
      </w:tr>
      <w:tr>
        <w:tc>
          <w:tcPr>
            <w:tcW w:type="dxa" w:w="1500"/>
            <w:shd w:fill="F7F9FB" w:color="auto" w:val="clear"/>
            <w:tcMar>
              <w:top w:type="dxa" w:w="70"/>
              <w:left w:type="dxa" w:w="110"/>
              <w:bottom w:type="dxa" w:w="70"/>
              <w:right w:type="dxa" w:w="110"/>
            </w:tcMar>
          </w:tcPr>
          <w:p>
            <w:pPr>
              <w:spacing w:after="0" w:line="250"/>
            </w:pPr>
            <w:r>
              <w:rPr>
                <w:b/>
                <w:bCs/>
                <w:sz w:val="18"/>
                <w:szCs w:val="18"/>
              </w:rPr>
              <w:t xml:space="preserve">Non-functional</w:t>
            </w:r>
          </w:p>
        </w:tc>
        <w:tc>
          <w:tcPr>
            <w:tcW w:type="dxa" w:w="4200"/>
            <w:shd w:fill="F7F9FB" w:color="auto" w:val="clear"/>
            <w:tcMar>
              <w:top w:type="dxa" w:w="70"/>
              <w:left w:type="dxa" w:w="110"/>
              <w:bottom w:type="dxa" w:w="70"/>
              <w:right w:type="dxa" w:w="110"/>
            </w:tcMar>
          </w:tcPr>
          <w:p>
            <w:pPr>
              <w:spacing w:after="0" w:line="250"/>
            </w:pPr>
            <w:r>
              <w:rPr>
                <w:b w:val="false"/>
                <w:bCs w:val="false"/>
                <w:sz w:val="18"/>
                <w:szCs w:val="18"/>
              </w:rPr>
              <w:t xml:space="preserve">Deployed app must not require TensorFlow at runtime</w:t>
            </w:r>
          </w:p>
        </w:tc>
        <w:tc>
          <w:tcPr>
            <w:tcW w:type="dxa" w:w="4140"/>
            <w:shd w:fill="F7F9FB" w:color="auto" w:val="clear"/>
            <w:tcMar>
              <w:top w:type="dxa" w:w="70"/>
              <w:left w:type="dxa" w:w="110"/>
              <w:bottom w:type="dxa" w:w="70"/>
              <w:right w:type="dxa" w:w="110"/>
            </w:tcMar>
          </w:tcPr>
          <w:p>
            <w:pPr>
              <w:spacing w:after="0" w:line="250"/>
            </w:pPr>
            <w:r>
              <w:rPr>
                <w:b w:val="false"/>
                <w:bCs w:val="false"/>
                <w:sz w:val="18"/>
                <w:szCs w:val="18"/>
              </w:rPr>
              <w:t xml:space="preserve">Met — LSTM predictions are pre-computed to 03_outputs/ and loaded as artifacts</w:t>
            </w:r>
          </w:p>
        </w:tc>
      </w:tr>
      <w:tr>
        <w:tc>
          <w:tcPr>
            <w:tcW w:type="dxa" w:w="1500"/>
            <w:tcMar>
              <w:top w:type="dxa" w:w="70"/>
              <w:left w:type="dxa" w:w="110"/>
              <w:bottom w:type="dxa" w:w="70"/>
              <w:right w:type="dxa" w:w="110"/>
            </w:tcMar>
          </w:tcPr>
          <w:p>
            <w:pPr>
              <w:spacing w:after="0" w:line="250"/>
            </w:pPr>
            <w:r>
              <w:rPr>
                <w:b/>
                <w:bCs/>
                <w:sz w:val="18"/>
                <w:szCs w:val="18"/>
              </w:rPr>
              <w:t xml:space="preserve">Non-functional</w:t>
            </w:r>
          </w:p>
        </w:tc>
        <w:tc>
          <w:tcPr>
            <w:tcW w:type="dxa" w:w="4200"/>
            <w:tcMar>
              <w:top w:type="dxa" w:w="70"/>
              <w:left w:type="dxa" w:w="110"/>
              <w:bottom w:type="dxa" w:w="70"/>
              <w:right w:type="dxa" w:w="110"/>
            </w:tcMar>
          </w:tcPr>
          <w:p>
            <w:pPr>
              <w:spacing w:after="0" w:line="250"/>
            </w:pPr>
            <w:r>
              <w:rPr>
                <w:b w:val="false"/>
                <w:bCs w:val="false"/>
                <w:sz w:val="18"/>
                <w:szCs w:val="18"/>
              </w:rPr>
              <w:t xml:space="preserve">Scale to zero when idle</w:t>
            </w:r>
          </w:p>
        </w:tc>
        <w:tc>
          <w:tcPr>
            <w:tcW w:type="dxa" w:w="4140"/>
            <w:tcMar>
              <w:top w:type="dxa" w:w="70"/>
              <w:left w:type="dxa" w:w="110"/>
              <w:bottom w:type="dxa" w:w="70"/>
              <w:right w:type="dxa" w:w="110"/>
            </w:tcMar>
          </w:tcPr>
          <w:p>
            <w:pPr>
              <w:spacing w:after="0" w:line="250"/>
            </w:pPr>
            <w:r>
              <w:rPr>
                <w:b w:val="false"/>
                <w:bCs w:val="false"/>
                <w:sz w:val="18"/>
                <w:szCs w:val="18"/>
              </w:rPr>
              <w:t xml:space="preserve">Met — Cloud Run min-instances=0, max-instances=2, 512Mi, 1 vCPU</w:t>
            </w:r>
          </w:p>
        </w:tc>
      </w:tr>
      <w:tr>
        <w:tc>
          <w:tcPr>
            <w:tcW w:type="dxa" w:w="1500"/>
            <w:shd w:fill="F7F9FB" w:color="auto" w:val="clear"/>
            <w:tcMar>
              <w:top w:type="dxa" w:w="70"/>
              <w:left w:type="dxa" w:w="110"/>
              <w:bottom w:type="dxa" w:w="70"/>
              <w:right w:type="dxa" w:w="110"/>
            </w:tcMar>
          </w:tcPr>
          <w:p>
            <w:pPr>
              <w:spacing w:after="0" w:line="250"/>
            </w:pPr>
            <w:r>
              <w:rPr>
                <w:b/>
                <w:bCs/>
                <w:sz w:val="18"/>
                <w:szCs w:val="18"/>
              </w:rPr>
              <w:t xml:space="preserve">Constraint</w:t>
            </w:r>
          </w:p>
        </w:tc>
        <w:tc>
          <w:tcPr>
            <w:tcW w:type="dxa" w:w="4200"/>
            <w:shd w:fill="F7F9FB" w:color="auto" w:val="clear"/>
            <w:tcMar>
              <w:top w:type="dxa" w:w="70"/>
              <w:left w:type="dxa" w:w="110"/>
              <w:bottom w:type="dxa" w:w="70"/>
              <w:right w:type="dxa" w:w="110"/>
            </w:tcMar>
          </w:tcPr>
          <w:p>
            <w:pPr>
              <w:spacing w:after="0" w:line="250"/>
            </w:pPr>
            <w:r>
              <w:rPr>
                <w:b w:val="false"/>
                <w:bCs w:val="false"/>
                <w:sz w:val="18"/>
                <w:szCs w:val="18"/>
              </w:rPr>
              <w:t xml:space="preserve">Synthetic data — absolute error figures carry no real-world meaning</w:t>
            </w:r>
          </w:p>
        </w:tc>
        <w:tc>
          <w:tcPr>
            <w:tcW w:type="dxa" w:w="4140"/>
            <w:shd w:fill="F7F9FB" w:color="auto" w:val="clear"/>
            <w:tcMar>
              <w:top w:type="dxa" w:w="70"/>
              <w:left w:type="dxa" w:w="110"/>
              <w:bottom w:type="dxa" w:w="70"/>
              <w:right w:type="dxa" w:w="110"/>
            </w:tcMar>
          </w:tcPr>
          <w:p>
            <w:pPr>
              <w:spacing w:after="0" w:line="250"/>
            </w:pPr>
            <w:r>
              <w:rPr>
                <w:b w:val="false"/>
                <w:bCs w:val="false"/>
                <w:sz w:val="18"/>
                <w:szCs w:val="18"/>
              </w:rPr>
              <w:t xml:space="preserve">Accepted and documented</w:t>
            </w:r>
          </w:p>
        </w:tc>
      </w:tr>
    </w:tbl>
    <w:p>
      <w:pPr>
        <w:pStyle w:val="Heading1"/>
      </w:pPr>
      <w:r>
        <w:t xml:space="preserve">3. Data</w:t>
      </w:r>
    </w:p>
    <w:p>
      <w:pPr>
        <w:pStyle w:val="Heading2"/>
      </w:pPr>
      <w:r>
        <w:t xml:space="preserve">Sources</w:t>
      </w:r>
    </w:p>
    <w:p>
      <w:r>
        <w:t xml:space="preserve">Synthetic relational database in SQLite (01_database/bike_orders_database.sqlite): bikes, bikeshops, orderlines. Raw Excel sources in 00_data_raw/.</w:t>
      </w:r>
    </w:p>
    <w:p>
      <w:pPr>
        <w:pStyle w:val="Heading2"/>
      </w:pPr>
      <w:r>
        <w:t xml:space="preserve">Pipeline</w:t>
      </w:r>
    </w:p>
    <w:p>
      <w:r>
        <w:t xml:space="preserve">collect_data() in 02_SRC/database.py loads and joins the tables; summarize_by_time() aggregates to monthly series per grouping.</w:t>
      </w:r>
    </w:p>
    <w:p>
      <w:pPr>
        <w:pStyle w:val="Heading2"/>
      </w:pPr>
      <w:r>
        <w:t xml:space="preserve">Notes &amp; caveats</w:t>
      </w:r>
    </w:p>
    <w:p>
      <w:r>
        <w:t xml:space="preserve">Profiling found 97 bikes / 30 bikeshops / 15,644 orderlines, against the README's stated 4,753 / 93 / 109,514 — the README figures appear to describe a different generation run. Order dates run 2011-01-07 to 2015-12-25 and are relabeled as 2020–2024 for presentation.</w:t>
      </w:r>
    </w:p>
    <w:p>
      <w:pPr>
        <w:spacing w:before="100"/>
      </w:pPr>
      <w:r>
        <w:rPr>
          <w:i/>
          <w:iCs/>
          <w:color w:val="595959"/>
          <w:sz w:val="18"/>
          <w:szCs w:val="18"/>
        </w:rPr>
        <w:t xml:space="preserve">Full schema, null rates, and quality issues: data_cards/data_card.docx.</w:t>
      </w:r>
    </w:p>
    <w:p>
      <w:pPr>
        <w:pStyle w:val="Heading1"/>
      </w:pPr>
      <w:r>
        <w:t xml:space="preserve">4. Modeling Approach</w:t>
      </w:r>
    </w:p>
    <w:p>
      <w:pPr>
        <w:pStyle w:val="Heading2"/>
      </w:pPr>
      <w:r>
        <w:t xml:space="preserve">Candidates considered</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3000"/>
        <w:gridCol w:w="3900"/>
        <w:gridCol w:w="2940"/>
      </w:tblGrid>
      <w:tr>
        <w:trPr>
          <w:tblHeader/>
        </w:trPr>
        <w:tc>
          <w:tcPr>
            <w:tcW w:type="dxa" w:w="3000"/>
            <w:shd w:fill="EEF3F8" w:color="auto" w:val="clear"/>
            <w:tcMar>
              <w:top w:type="dxa" w:w="70"/>
              <w:left w:type="dxa" w:w="110"/>
              <w:bottom w:type="dxa" w:w="70"/>
              <w:right w:type="dxa" w:w="110"/>
            </w:tcMar>
          </w:tcPr>
          <w:p>
            <w:pPr>
              <w:spacing w:after="0" w:line="250"/>
            </w:pPr>
            <w:r>
              <w:rPr>
                <w:b/>
                <w:bCs/>
                <w:color w:val="1F4E79"/>
                <w:sz w:val="18"/>
                <w:szCs w:val="18"/>
              </w:rPr>
              <w:t xml:space="preserve">Approach</w:t>
            </w:r>
          </w:p>
        </w:tc>
        <w:tc>
          <w:tcPr>
            <w:tcW w:type="dxa" w:w="3900"/>
            <w:shd w:fill="EEF3F8" w:color="auto" w:val="clear"/>
            <w:tcMar>
              <w:top w:type="dxa" w:w="70"/>
              <w:left w:type="dxa" w:w="110"/>
              <w:bottom w:type="dxa" w:w="70"/>
              <w:right w:type="dxa" w:w="110"/>
            </w:tcMar>
          </w:tcPr>
          <w:p>
            <w:pPr>
              <w:spacing w:after="0" w:line="250"/>
            </w:pPr>
            <w:r>
              <w:rPr>
                <w:b/>
                <w:bCs/>
                <w:color w:val="1F4E79"/>
                <w:sz w:val="18"/>
                <w:szCs w:val="18"/>
              </w:rPr>
              <w:t xml:space="preserve">Outcome</w:t>
            </w:r>
          </w:p>
        </w:tc>
        <w:tc>
          <w:tcPr>
            <w:tcW w:type="dxa" w:w="2940"/>
            <w:shd w:fill="EEF3F8" w:color="auto" w:val="clear"/>
            <w:tcMar>
              <w:top w:type="dxa" w:w="70"/>
              <w:left w:type="dxa" w:w="110"/>
              <w:bottom w:type="dxa" w:w="70"/>
              <w:right w:type="dxa" w:w="110"/>
            </w:tcMar>
          </w:tcPr>
          <w:p>
            <w:pPr>
              <w:spacing w:after="0" w:line="250"/>
            </w:pPr>
            <w:r>
              <w:rPr>
                <w:b/>
                <w:bCs/>
                <w:color w:val="1F4E79"/>
                <w:sz w:val="18"/>
                <w:szCs w:val="18"/>
              </w:rPr>
              <w:t xml:space="preserve">Decision</w:t>
            </w:r>
          </w:p>
        </w:tc>
      </w:tr>
      <w:tr>
        <w:tc>
          <w:tcPr>
            <w:tcW w:type="dxa" w:w="3000"/>
            <w:tcMar>
              <w:top w:type="dxa" w:w="70"/>
              <w:left w:type="dxa" w:w="110"/>
              <w:bottom w:type="dxa" w:w="70"/>
              <w:right w:type="dxa" w:w="110"/>
            </w:tcMar>
          </w:tcPr>
          <w:p>
            <w:pPr>
              <w:spacing w:after="0" w:line="250"/>
            </w:pPr>
            <w:r>
              <w:rPr>
                <w:b/>
                <w:bCs/>
                <w:sz w:val="18"/>
                <w:szCs w:val="18"/>
              </w:rPr>
              <w:t xml:space="preserve">Naive (last value carried forward)</w:t>
            </w:r>
          </w:p>
        </w:tc>
        <w:tc>
          <w:tcPr>
            <w:tcW w:type="dxa" w:w="3900"/>
            <w:tcMar>
              <w:top w:type="dxa" w:w="70"/>
              <w:left w:type="dxa" w:w="110"/>
              <w:bottom w:type="dxa" w:w="70"/>
              <w:right w:type="dxa" w:w="110"/>
            </w:tcMar>
          </w:tcPr>
          <w:p>
            <w:pPr>
              <w:spacing w:after="0" w:line="250"/>
            </w:pPr>
            <w:r>
              <w:rPr>
                <w:b w:val="false"/>
                <w:bCs w:val="false"/>
                <w:sz w:val="18"/>
                <w:szCs w:val="18"/>
              </w:rPr>
              <w:t xml:space="preserve">MASE 1.000 by construction</w:t>
            </w:r>
          </w:p>
        </w:tc>
        <w:tc>
          <w:tcPr>
            <w:tcW w:type="dxa" w:w="2940"/>
            <w:tcMar>
              <w:top w:type="dxa" w:w="70"/>
              <w:left w:type="dxa" w:w="110"/>
              <w:bottom w:type="dxa" w:w="70"/>
              <w:right w:type="dxa" w:w="110"/>
            </w:tcMar>
          </w:tcPr>
          <w:p>
            <w:pPr>
              <w:spacing w:after="0" w:line="250"/>
            </w:pPr>
            <w:r>
              <w:rPr>
                <w:b w:val="false"/>
                <w:bCs w:val="false"/>
                <w:sz w:val="18"/>
                <w:szCs w:val="18"/>
              </w:rPr>
              <w:t xml:space="preserve">Retained as the baseline every model must beat</w:t>
            </w:r>
          </w:p>
        </w:tc>
      </w:tr>
      <w:tr>
        <w:tc>
          <w:tcPr>
            <w:tcW w:type="dxa" w:w="3000"/>
            <w:shd w:fill="F7F9FB" w:color="auto" w:val="clear"/>
            <w:tcMar>
              <w:top w:type="dxa" w:w="70"/>
              <w:left w:type="dxa" w:w="110"/>
              <w:bottom w:type="dxa" w:w="70"/>
              <w:right w:type="dxa" w:w="110"/>
            </w:tcMar>
          </w:tcPr>
          <w:p>
            <w:pPr>
              <w:spacing w:after="0" w:line="250"/>
            </w:pPr>
            <w:r>
              <w:rPr>
                <w:b/>
                <w:bCs/>
                <w:sz w:val="18"/>
                <w:szCs w:val="18"/>
              </w:rPr>
              <w:t xml:space="preserve">AutoARIMA (sktime, per series)</w:t>
            </w:r>
          </w:p>
        </w:tc>
        <w:tc>
          <w:tcPr>
            <w:tcW w:type="dxa" w:w="3900"/>
            <w:shd w:fill="F7F9FB" w:color="auto" w:val="clear"/>
            <w:tcMar>
              <w:top w:type="dxa" w:w="70"/>
              <w:left w:type="dxa" w:w="110"/>
              <w:bottom w:type="dxa" w:w="70"/>
              <w:right w:type="dxa" w:w="110"/>
            </w:tcMar>
          </w:tcPr>
          <w:p>
            <w:pPr>
              <w:spacing w:after="0" w:line="250"/>
            </w:pPr>
            <w:r>
              <w:rPr>
                <w:b w:val="false"/>
                <w:bCs w:val="false"/>
                <w:sz w:val="18"/>
                <w:szCs w:val="18"/>
              </w:rPr>
              <w:t xml:space="preserve">MASE 0.778 · MAE $34,688 · RMSE $39,689</w:t>
            </w:r>
          </w:p>
        </w:tc>
        <w:tc>
          <w:tcPr>
            <w:tcW w:type="dxa" w:w="2940"/>
            <w:shd w:fill="F7F9FB" w:color="auto" w:val="clear"/>
            <w:tcMar>
              <w:top w:type="dxa" w:w="70"/>
              <w:left w:type="dxa" w:w="110"/>
              <w:bottom w:type="dxa" w:w="70"/>
              <w:right w:type="dxa" w:w="110"/>
            </w:tcMar>
          </w:tcPr>
          <w:p>
            <w:pPr>
              <w:spacing w:after="0" w:line="250"/>
            </w:pPr>
            <w:r>
              <w:rPr>
                <w:b w:val="false"/>
                <w:bCs w:val="false"/>
                <w:sz w:val="18"/>
                <w:szCs w:val="18"/>
              </w:rPr>
              <w:t xml:space="preserve">Kept — interpretable, CPU-only, gives prediction intervals</w:t>
            </w:r>
          </w:p>
        </w:tc>
      </w:tr>
      <w:tr>
        <w:tc>
          <w:tcPr>
            <w:tcW w:type="dxa" w:w="3000"/>
            <w:tcMar>
              <w:top w:type="dxa" w:w="70"/>
              <w:left w:type="dxa" w:w="110"/>
              <w:bottom w:type="dxa" w:w="70"/>
              <w:right w:type="dxa" w:w="110"/>
            </w:tcMar>
          </w:tcPr>
          <w:p>
            <w:pPr>
              <w:spacing w:after="0" w:line="250"/>
            </w:pPr>
            <w:r>
              <w:rPr>
                <w:b/>
                <w:bCs/>
                <w:sz w:val="18"/>
                <w:szCs w:val="18"/>
              </w:rPr>
              <w:t xml:space="preserve">TensorFlow LSTM, Input(3,30) → LSTM(32) → Dense(30)</w:t>
            </w:r>
          </w:p>
        </w:tc>
        <w:tc>
          <w:tcPr>
            <w:tcW w:type="dxa" w:w="3900"/>
            <w:tcMar>
              <w:top w:type="dxa" w:w="70"/>
              <w:left w:type="dxa" w:w="110"/>
              <w:bottom w:type="dxa" w:w="70"/>
              <w:right w:type="dxa" w:w="110"/>
            </w:tcMar>
          </w:tcPr>
          <w:p>
            <w:pPr>
              <w:spacing w:after="0" w:line="250"/>
            </w:pPr>
            <w:r>
              <w:rPr>
                <w:b w:val="false"/>
                <w:bCs w:val="false"/>
                <w:sz w:val="18"/>
                <w:szCs w:val="18"/>
              </w:rPr>
              <w:t xml:space="preserve">MASE 0.703 · MAE $31,981 · RMSE $38,165</w:t>
            </w:r>
          </w:p>
        </w:tc>
        <w:tc>
          <w:tcPr>
            <w:tcW w:type="dxa" w:w="2940"/>
            <w:tcMar>
              <w:top w:type="dxa" w:w="70"/>
              <w:left w:type="dxa" w:w="110"/>
              <w:bottom w:type="dxa" w:w="70"/>
              <w:right w:type="dxa" w:w="110"/>
            </w:tcMar>
          </w:tcPr>
          <w:p>
            <w:pPr>
              <w:spacing w:after="0" w:line="250"/>
            </w:pPr>
            <w:r>
              <w:rPr>
                <w:b w:val="false"/>
                <w:bCs w:val="false"/>
                <w:sz w:val="18"/>
                <w:szCs w:val="18"/>
              </w:rPr>
              <w:t xml:space="preserve">Kept — most accurate, but no intervals</w:t>
            </w:r>
          </w:p>
        </w:tc>
      </w:tr>
      <w:tr>
        <w:tc>
          <w:tcPr>
            <w:tcW w:type="dxa" w:w="3000"/>
            <w:shd w:fill="F7F9FB" w:color="auto" w:val="clear"/>
            <w:tcMar>
              <w:top w:type="dxa" w:w="70"/>
              <w:left w:type="dxa" w:w="110"/>
              <w:bottom w:type="dxa" w:w="70"/>
              <w:right w:type="dxa" w:w="110"/>
            </w:tcMar>
          </w:tcPr>
          <w:p>
            <w:pPr>
              <w:spacing w:after="0" w:line="250"/>
            </w:pPr>
            <w:r>
              <w:rPr>
                <w:b/>
                <w:bCs/>
                <w:sz w:val="18"/>
                <w:szCs w:val="18"/>
              </w:rPr>
              <w:t xml:space="preserve">MAPE as headline metric</w:t>
            </w:r>
          </w:p>
        </w:tc>
        <w:tc>
          <w:tcPr>
            <w:tcW w:type="dxa" w:w="3900"/>
            <w:shd w:fill="F7F9FB" w:color="auto" w:val="clear"/>
            <w:tcMar>
              <w:top w:type="dxa" w:w="70"/>
              <w:left w:type="dxa" w:w="110"/>
              <w:bottom w:type="dxa" w:w="70"/>
              <w:right w:type="dxa" w:w="110"/>
            </w:tcMar>
          </w:tcPr>
          <w:p>
            <w:pPr>
              <w:spacing w:after="0" w:line="250"/>
            </w:pPr>
            <w:r>
              <w:rPr>
                <w:b w:val="false"/>
                <w:bCs w:val="false"/>
                <w:sz w:val="18"/>
                <w:szCs w:val="18"/>
              </w:rPr>
              <w:t xml:space="preserve">Near-zero bikeshop months produce errors in the quadrillions</w:t>
            </w:r>
          </w:p>
        </w:tc>
        <w:tc>
          <w:tcPr>
            <w:tcW w:type="dxa" w:w="2940"/>
            <w:shd w:fill="F7F9FB" w:color="auto" w:val="clear"/>
            <w:tcMar>
              <w:top w:type="dxa" w:w="70"/>
              <w:left w:type="dxa" w:w="110"/>
              <w:bottom w:type="dxa" w:w="70"/>
              <w:right w:type="dxa" w:w="110"/>
            </w:tcMar>
          </w:tcPr>
          <w:p>
            <w:pPr>
              <w:spacing w:after="0" w:line="250"/>
            </w:pPr>
            <w:r>
              <w:rPr>
                <w:b w:val="false"/>
                <w:bCs w:val="false"/>
                <w:sz w:val="18"/>
                <w:szCs w:val="18"/>
              </w:rPr>
              <w:t xml:space="preserve">Rejected — MASE used instead</w:t>
            </w:r>
          </w:p>
        </w:tc>
      </w:tr>
    </w:tbl>
    <w:p>
      <w:pPr>
        <w:pStyle w:val="Heading2"/>
      </w:pPr>
      <w:r>
        <w:t xml:space="preserve">Selected</w:t>
      </w:r>
    </w:p>
    <w:p>
      <w:r>
        <w:rPr>
          <w:b/>
          <w:bCs/>
        </w:rPr>
        <w:t xml:space="preserve">Both, presented side by side. LSTM leads on accuracy; AutoARIMA supplies the uncertainty bounds.</w:t>
      </w:r>
    </w:p>
    <w:p>
      <w:pPr>
        <w:pStyle w:val="Heading2"/>
      </w:pPr>
      <w:r>
        <w:t xml:space="preserve">Rationale</w:t>
      </w:r>
    </w:p>
    <w:p>
      <w:r>
        <w:t xml:space="preserve">The LSTM wins on every error metric, but it produces bare point forecasts and needs GPU-class retraining. AutoARIMA is slower per series yet interpretable, retrainable on a CPU, and yields 95% prediction intervals. For a planning tool where the user needs to know how much to trust a number, showing both — with MASE against naive visible — is more useful than silently shipping the lower-error model.</w:t>
      </w:r>
    </w:p>
    <w:p>
      <w:pPr>
        <w:pStyle w:val="Heading1"/>
      </w:pPr>
      <w:r>
        <w:t xml:space="preserve">5. Evaluation</w:t>
      </w:r>
    </w:p>
    <w:p>
      <w:pPr>
        <w:pStyle w:val="Heading2"/>
      </w:pPr>
      <w:r>
        <w:t xml:space="preserve">Strategy</w:t>
      </w:r>
    </w:p>
    <w:p>
      <w:r>
        <w:t xml:space="preserve">True holdout on the last 3 months of data, not in-sample fit. Train/validation/test split applied BEFORE Min-Max scaling to prevent leakage. compare_arima_lstm() aligns LSTM predictions to the same holdout window AutoARIMA is scored on, so MASE figures are directly comparable.</w:t>
      </w:r>
    </w:p>
    <w:p>
      <w:pPr>
        <w:pStyle w:val="Heading2"/>
      </w:pPr>
      <w:r>
        <w:t xml:space="preserve">Baseline</w:t>
      </w:r>
    </w:p>
    <w:p>
      <w:r>
        <w:t xml:space="preserve">Naive last-value-carried-forward, MASE 1.000.</w:t>
      </w:r>
    </w:p>
    <w:p>
      <w:pPr>
        <w:pStyle w:val="Heading2"/>
      </w:pPr>
      <w:r>
        <w:t xml:space="preserve">Results</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5100"/>
        <w:gridCol w:w="4740"/>
      </w:tblGrid>
      <w:tr>
        <w:trPr>
          <w:tblHeader/>
        </w:trPr>
        <w:tc>
          <w:tcPr>
            <w:tcW w:type="dxa" w:w="5100"/>
            <w:shd w:fill="EEF3F8" w:color="auto" w:val="clear"/>
            <w:tcMar>
              <w:top w:type="dxa" w:w="70"/>
              <w:left w:type="dxa" w:w="110"/>
              <w:bottom w:type="dxa" w:w="70"/>
              <w:right w:type="dxa" w:w="110"/>
            </w:tcMar>
          </w:tcPr>
          <w:p>
            <w:pPr>
              <w:spacing w:after="0" w:line="250"/>
            </w:pPr>
            <w:r>
              <w:rPr>
                <w:b/>
                <w:bCs/>
                <w:color w:val="1F4E79"/>
                <w:sz w:val="18"/>
                <w:szCs w:val="18"/>
              </w:rPr>
              <w:t xml:space="preserve">Metric</w:t>
            </w:r>
          </w:p>
        </w:tc>
        <w:tc>
          <w:tcPr>
            <w:tcW w:type="dxa" w:w="4740"/>
            <w:shd w:fill="EEF3F8" w:color="auto" w:val="clear"/>
            <w:tcMar>
              <w:top w:type="dxa" w:w="70"/>
              <w:left w:type="dxa" w:w="110"/>
              <w:bottom w:type="dxa" w:w="70"/>
              <w:right w:type="dxa" w:w="110"/>
            </w:tcMar>
          </w:tcPr>
          <w:p>
            <w:pPr>
              <w:spacing w:after="0" w:line="250"/>
            </w:pPr>
            <w:r>
              <w:rPr>
                <w:b/>
                <w:bCs/>
                <w:color w:val="1F4E79"/>
                <w:sz w:val="18"/>
                <w:szCs w:val="18"/>
              </w:rPr>
              <w:t xml:space="preserve">Value</w:t>
            </w:r>
          </w:p>
        </w:tc>
      </w:tr>
      <w:tr>
        <w:tc>
          <w:tcPr>
            <w:tcW w:type="dxa" w:w="5100"/>
            <w:tcMar>
              <w:top w:type="dxa" w:w="70"/>
              <w:left w:type="dxa" w:w="110"/>
              <w:bottom w:type="dxa" w:w="70"/>
              <w:right w:type="dxa" w:w="110"/>
            </w:tcMar>
          </w:tcPr>
          <w:p>
            <w:pPr>
              <w:spacing w:after="0" w:line="250"/>
            </w:pPr>
            <w:r>
              <w:rPr>
                <w:b w:val="false"/>
                <w:bCs w:val="false"/>
                <w:sz w:val="18"/>
                <w:szCs w:val="18"/>
              </w:rPr>
              <w:t xml:space="preserve">MASE — LSTM</w:t>
            </w:r>
          </w:p>
        </w:tc>
        <w:tc>
          <w:tcPr>
            <w:tcW w:type="dxa" w:w="4740"/>
            <w:tcMar>
              <w:top w:type="dxa" w:w="70"/>
              <w:left w:type="dxa" w:w="110"/>
              <w:bottom w:type="dxa" w:w="70"/>
              <w:right w:type="dxa" w:w="110"/>
            </w:tcMar>
          </w:tcPr>
          <w:p>
            <w:pPr>
              <w:spacing w:after="0" w:line="250"/>
            </w:pPr>
            <w:r>
              <w:rPr>
                <w:b/>
                <w:bCs/>
                <w:sz w:val="18"/>
                <w:szCs w:val="18"/>
              </w:rPr>
              <w:t xml:space="preserve">0.703</w:t>
            </w:r>
          </w:p>
        </w:tc>
      </w:tr>
      <w:tr>
        <w:tc>
          <w:tcPr>
            <w:tcW w:type="dxa" w:w="5100"/>
            <w:shd w:fill="F7F9FB" w:color="auto" w:val="clear"/>
            <w:tcMar>
              <w:top w:type="dxa" w:w="70"/>
              <w:left w:type="dxa" w:w="110"/>
              <w:bottom w:type="dxa" w:w="70"/>
              <w:right w:type="dxa" w:w="110"/>
            </w:tcMar>
          </w:tcPr>
          <w:p>
            <w:pPr>
              <w:spacing w:after="0" w:line="250"/>
            </w:pPr>
            <w:r>
              <w:rPr>
                <w:b w:val="false"/>
                <w:bCs w:val="false"/>
                <w:sz w:val="18"/>
                <w:szCs w:val="18"/>
              </w:rPr>
              <w:t xml:space="preserve">MASE — AutoARIMA</w:t>
            </w:r>
          </w:p>
        </w:tc>
        <w:tc>
          <w:tcPr>
            <w:tcW w:type="dxa" w:w="4740"/>
            <w:shd w:fill="F7F9FB" w:color="auto" w:val="clear"/>
            <w:tcMar>
              <w:top w:type="dxa" w:w="70"/>
              <w:left w:type="dxa" w:w="110"/>
              <w:bottom w:type="dxa" w:w="70"/>
              <w:right w:type="dxa" w:w="110"/>
            </w:tcMar>
          </w:tcPr>
          <w:p>
            <w:pPr>
              <w:spacing w:after="0" w:line="250"/>
            </w:pPr>
            <w:r>
              <w:rPr>
                <w:b/>
                <w:bCs/>
                <w:sz w:val="18"/>
                <w:szCs w:val="18"/>
              </w:rPr>
              <w:t xml:space="preserve">0.778</w:t>
            </w:r>
          </w:p>
        </w:tc>
      </w:tr>
      <w:tr>
        <w:tc>
          <w:tcPr>
            <w:tcW w:type="dxa" w:w="5100"/>
            <w:tcMar>
              <w:top w:type="dxa" w:w="70"/>
              <w:left w:type="dxa" w:w="110"/>
              <w:bottom w:type="dxa" w:w="70"/>
              <w:right w:type="dxa" w:w="110"/>
            </w:tcMar>
          </w:tcPr>
          <w:p>
            <w:pPr>
              <w:spacing w:after="0" w:line="250"/>
            </w:pPr>
            <w:r>
              <w:rPr>
                <w:b w:val="false"/>
                <w:bCs w:val="false"/>
                <w:sz w:val="18"/>
                <w:szCs w:val="18"/>
              </w:rPr>
              <w:t xml:space="preserve">MASE — Naive</w:t>
            </w:r>
          </w:p>
        </w:tc>
        <w:tc>
          <w:tcPr>
            <w:tcW w:type="dxa" w:w="4740"/>
            <w:tcMar>
              <w:top w:type="dxa" w:w="70"/>
              <w:left w:type="dxa" w:w="110"/>
              <w:bottom w:type="dxa" w:w="70"/>
              <w:right w:type="dxa" w:w="110"/>
            </w:tcMar>
          </w:tcPr>
          <w:p>
            <w:pPr>
              <w:spacing w:after="0" w:line="250"/>
            </w:pPr>
            <w:r>
              <w:rPr>
                <w:b/>
                <w:bCs/>
                <w:sz w:val="18"/>
                <w:szCs w:val="18"/>
              </w:rPr>
              <w:t xml:space="preserve">1.000</w:t>
            </w:r>
          </w:p>
        </w:tc>
      </w:tr>
      <w:tr>
        <w:tc>
          <w:tcPr>
            <w:tcW w:type="dxa" w:w="5100"/>
            <w:shd w:fill="F7F9FB" w:color="auto" w:val="clear"/>
            <w:tcMar>
              <w:top w:type="dxa" w:w="70"/>
              <w:left w:type="dxa" w:w="110"/>
              <w:bottom w:type="dxa" w:w="70"/>
              <w:right w:type="dxa" w:w="110"/>
            </w:tcMar>
          </w:tcPr>
          <w:p>
            <w:pPr>
              <w:spacing w:after="0" w:line="250"/>
            </w:pPr>
            <w:r>
              <w:rPr>
                <w:b w:val="false"/>
                <w:bCs w:val="false"/>
                <w:sz w:val="18"/>
                <w:szCs w:val="18"/>
              </w:rPr>
              <w:t xml:space="preserve">MAE — LSTM / AutoARIMA / Naive</w:t>
            </w:r>
          </w:p>
        </w:tc>
        <w:tc>
          <w:tcPr>
            <w:tcW w:type="dxa" w:w="4740"/>
            <w:shd w:fill="F7F9FB" w:color="auto" w:val="clear"/>
            <w:tcMar>
              <w:top w:type="dxa" w:w="70"/>
              <w:left w:type="dxa" w:w="110"/>
              <w:bottom w:type="dxa" w:w="70"/>
              <w:right w:type="dxa" w:w="110"/>
            </w:tcMar>
          </w:tcPr>
          <w:p>
            <w:pPr>
              <w:spacing w:after="0" w:line="250"/>
            </w:pPr>
            <w:r>
              <w:rPr>
                <w:b/>
                <w:bCs/>
                <w:sz w:val="18"/>
                <w:szCs w:val="18"/>
              </w:rPr>
              <w:t xml:space="preserve">$31,981 / $34,688 / $26,612</w:t>
            </w:r>
          </w:p>
        </w:tc>
      </w:tr>
      <w:tr>
        <w:tc>
          <w:tcPr>
            <w:tcW w:type="dxa" w:w="5100"/>
            <w:tcMar>
              <w:top w:type="dxa" w:w="70"/>
              <w:left w:type="dxa" w:w="110"/>
              <w:bottom w:type="dxa" w:w="70"/>
              <w:right w:type="dxa" w:w="110"/>
            </w:tcMar>
          </w:tcPr>
          <w:p>
            <w:pPr>
              <w:spacing w:after="0" w:line="250"/>
            </w:pPr>
            <w:r>
              <w:rPr>
                <w:b w:val="false"/>
                <w:bCs w:val="false"/>
                <w:sz w:val="18"/>
                <w:szCs w:val="18"/>
              </w:rPr>
              <w:t xml:space="preserve">RMSE — LSTM / AutoARIMA / Naive</w:t>
            </w:r>
          </w:p>
        </w:tc>
        <w:tc>
          <w:tcPr>
            <w:tcW w:type="dxa" w:w="4740"/>
            <w:tcMar>
              <w:top w:type="dxa" w:w="70"/>
              <w:left w:type="dxa" w:w="110"/>
              <w:bottom w:type="dxa" w:w="70"/>
              <w:right w:type="dxa" w:w="110"/>
            </w:tcMar>
          </w:tcPr>
          <w:p>
            <w:pPr>
              <w:spacing w:after="0" w:line="250"/>
            </w:pPr>
            <w:r>
              <w:rPr>
                <w:b/>
                <w:bCs/>
                <w:sz w:val="18"/>
                <w:szCs w:val="18"/>
              </w:rPr>
              <w:t xml:space="preserve">$38,165 / $39,689 / $36,551</w:t>
            </w:r>
          </w:p>
        </w:tc>
      </w:tr>
      <w:tr>
        <w:tc>
          <w:tcPr>
            <w:tcW w:type="dxa" w:w="5100"/>
            <w:shd w:fill="F7F9FB" w:color="auto" w:val="clear"/>
            <w:tcMar>
              <w:top w:type="dxa" w:w="70"/>
              <w:left w:type="dxa" w:w="110"/>
              <w:bottom w:type="dxa" w:w="70"/>
              <w:right w:type="dxa" w:w="110"/>
            </w:tcMar>
          </w:tcPr>
          <w:p>
            <w:pPr>
              <w:spacing w:after="0" w:line="250"/>
            </w:pPr>
            <w:r>
              <w:rPr>
                <w:b w:val="false"/>
                <w:bCs w:val="false"/>
                <w:sz w:val="18"/>
                <w:szCs w:val="18"/>
              </w:rPr>
              <w:t xml:space="preserve">Series evaluated</w:t>
            </w:r>
          </w:p>
        </w:tc>
        <w:tc>
          <w:tcPr>
            <w:tcW w:type="dxa" w:w="4740"/>
            <w:shd w:fill="F7F9FB" w:color="auto" w:val="clear"/>
            <w:tcMar>
              <w:top w:type="dxa" w:w="70"/>
              <w:left w:type="dxa" w:w="110"/>
              <w:bottom w:type="dxa" w:w="70"/>
              <w:right w:type="dxa" w:w="110"/>
            </w:tcMar>
          </w:tcPr>
          <w:p>
            <w:pPr>
              <w:spacing w:after="0" w:line="250"/>
            </w:pPr>
            <w:r>
              <w:rPr>
                <w:b/>
                <w:bCs/>
                <w:sz w:val="18"/>
                <w:szCs w:val="18"/>
              </w:rPr>
              <w:t xml:space="preserve">30 bikeshops</w:t>
            </w:r>
          </w:p>
        </w:tc>
      </w:tr>
    </w:tbl>
    <w:p>
      <w:pPr>
        <w:pStyle w:val="Heading1"/>
      </w:pPr>
      <w:r>
        <w:t xml:space="preserve">6. As-Built Architecture</w:t>
      </w:r>
    </w:p>
    <w:p>
      <w:pPr>
        <w:pStyle w:val="Heading2"/>
      </w:pPr>
      <w:r>
        <w:t xml:space="preserve">Components</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2700"/>
        <w:gridCol w:w="4740"/>
      </w:tblGrid>
      <w:tr>
        <w:trPr>
          <w:tblHeader/>
        </w:trPr>
        <w:tc>
          <w:tcPr>
            <w:tcW w:type="dxa" w:w="2400"/>
            <w:shd w:fill="EEF3F8" w:color="auto" w:val="clear"/>
            <w:tcMar>
              <w:top w:type="dxa" w:w="70"/>
              <w:left w:type="dxa" w:w="110"/>
              <w:bottom w:type="dxa" w:w="70"/>
              <w:right w:type="dxa" w:w="110"/>
            </w:tcMar>
          </w:tcPr>
          <w:p>
            <w:pPr>
              <w:spacing w:after="0" w:line="250"/>
            </w:pPr>
            <w:r>
              <w:rPr>
                <w:b/>
                <w:bCs/>
                <w:color w:val="1F4E79"/>
                <w:sz w:val="18"/>
                <w:szCs w:val="18"/>
              </w:rPr>
              <w:t xml:space="preserve">Component</w:t>
            </w:r>
          </w:p>
        </w:tc>
        <w:tc>
          <w:tcPr>
            <w:tcW w:type="dxa" w:w="2700"/>
            <w:shd w:fill="EEF3F8" w:color="auto" w:val="clear"/>
            <w:tcMar>
              <w:top w:type="dxa" w:w="70"/>
              <w:left w:type="dxa" w:w="110"/>
              <w:bottom w:type="dxa" w:w="70"/>
              <w:right w:type="dxa" w:w="110"/>
            </w:tcMar>
          </w:tcPr>
          <w:p>
            <w:pPr>
              <w:spacing w:after="0" w:line="250"/>
            </w:pPr>
            <w:r>
              <w:rPr>
                <w:b/>
                <w:bCs/>
                <w:color w:val="1F4E79"/>
                <w:sz w:val="18"/>
                <w:szCs w:val="18"/>
              </w:rPr>
              <w:t xml:space="preserve">Technology</w:t>
            </w:r>
          </w:p>
        </w:tc>
        <w:tc>
          <w:tcPr>
            <w:tcW w:type="dxa" w:w="4740"/>
            <w:shd w:fill="EEF3F8" w:color="auto" w:val="clear"/>
            <w:tcMar>
              <w:top w:type="dxa" w:w="70"/>
              <w:left w:type="dxa" w:w="110"/>
              <w:bottom w:type="dxa" w:w="70"/>
              <w:right w:type="dxa" w:w="110"/>
            </w:tcMar>
          </w:tcPr>
          <w:p>
            <w:pPr>
              <w:spacing w:after="0" w:line="250"/>
            </w:pPr>
            <w:r>
              <w:rPr>
                <w:b/>
                <w:bCs/>
                <w:color w:val="1F4E79"/>
                <w:sz w:val="18"/>
                <w:szCs w:val="18"/>
              </w:rPr>
              <w:t xml:space="preserve">Role</w:t>
            </w:r>
          </w:p>
        </w:tc>
      </w:tr>
      <w:tr>
        <w:tc>
          <w:tcPr>
            <w:tcW w:type="dxa" w:w="2400"/>
            <w:tcMar>
              <w:top w:type="dxa" w:w="70"/>
              <w:left w:type="dxa" w:w="110"/>
              <w:bottom w:type="dxa" w:w="70"/>
              <w:right w:type="dxa" w:w="110"/>
            </w:tcMar>
          </w:tcPr>
          <w:p>
            <w:pPr>
              <w:spacing w:after="0" w:line="250"/>
            </w:pPr>
            <w:r>
              <w:rPr>
                <w:b/>
                <w:bCs/>
                <w:sz w:val="18"/>
                <w:szCs w:val="18"/>
              </w:rPr>
              <w:t xml:space="preserve">Storage</w:t>
            </w:r>
          </w:p>
        </w:tc>
        <w:tc>
          <w:tcPr>
            <w:tcW w:type="dxa" w:w="2700"/>
            <w:tcMar>
              <w:top w:type="dxa" w:w="70"/>
              <w:left w:type="dxa" w:w="110"/>
              <w:bottom w:type="dxa" w:w="70"/>
              <w:right w:type="dxa" w:w="110"/>
            </w:tcMar>
          </w:tcPr>
          <w:p>
            <w:pPr>
              <w:spacing w:after="0" w:line="250"/>
            </w:pPr>
            <w:r>
              <w:rPr>
                <w:b w:val="false"/>
                <w:bCs w:val="false"/>
                <w:sz w:val="18"/>
                <w:szCs w:val="18"/>
              </w:rPr>
              <w:t xml:space="preserve">SQLite</w:t>
            </w:r>
          </w:p>
        </w:tc>
        <w:tc>
          <w:tcPr>
            <w:tcW w:type="dxa" w:w="4740"/>
            <w:tcMar>
              <w:top w:type="dxa" w:w="70"/>
              <w:left w:type="dxa" w:w="110"/>
              <w:bottom w:type="dxa" w:w="70"/>
              <w:right w:type="dxa" w:w="110"/>
            </w:tcMar>
          </w:tcPr>
          <w:p>
            <w:pPr>
              <w:spacing w:after="0" w:line="250"/>
            </w:pPr>
            <w:r>
              <w:rPr>
                <w:b w:val="false"/>
                <w:bCs w:val="false"/>
                <w:sz w:val="18"/>
                <w:szCs w:val="18"/>
              </w:rPr>
              <w:t xml:space="preserve">01_database/bike_orders_database.sqlite</w:t>
            </w:r>
          </w:p>
        </w:tc>
      </w:tr>
      <w:tr>
        <w:tc>
          <w:tcPr>
            <w:tcW w:type="dxa" w:w="2400"/>
            <w:shd w:fill="F7F9FB" w:color="auto" w:val="clear"/>
            <w:tcMar>
              <w:top w:type="dxa" w:w="70"/>
              <w:left w:type="dxa" w:w="110"/>
              <w:bottom w:type="dxa" w:w="70"/>
              <w:right w:type="dxa" w:w="110"/>
            </w:tcMar>
          </w:tcPr>
          <w:p>
            <w:pPr>
              <w:spacing w:after="0" w:line="250"/>
            </w:pPr>
            <w:r>
              <w:rPr>
                <w:b/>
                <w:bCs/>
                <w:sz w:val="18"/>
                <w:szCs w:val="18"/>
              </w:rPr>
              <w:t xml:space="preserve">Data access</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02_SRC/database.py</w:t>
            </w:r>
          </w:p>
        </w:tc>
        <w:tc>
          <w:tcPr>
            <w:tcW w:type="dxa" w:w="4740"/>
            <w:shd w:fill="F7F9FB" w:color="auto" w:val="clear"/>
            <w:tcMar>
              <w:top w:type="dxa" w:w="70"/>
              <w:left w:type="dxa" w:w="110"/>
              <w:bottom w:type="dxa" w:w="70"/>
              <w:right w:type="dxa" w:w="110"/>
            </w:tcMar>
          </w:tcPr>
          <w:p>
            <w:pPr>
              <w:spacing w:after="0" w:line="250"/>
            </w:pPr>
            <w:r>
              <w:rPr>
                <w:b w:val="false"/>
                <w:bCs w:val="false"/>
                <w:sz w:val="18"/>
                <w:szCs w:val="18"/>
              </w:rPr>
              <w:t xml:space="preserve">collect_data(), summarize_by_time()</w:t>
            </w:r>
          </w:p>
        </w:tc>
      </w:tr>
      <w:tr>
        <w:tc>
          <w:tcPr>
            <w:tcW w:type="dxa" w:w="2400"/>
            <w:tcMar>
              <w:top w:type="dxa" w:w="70"/>
              <w:left w:type="dxa" w:w="110"/>
              <w:bottom w:type="dxa" w:w="70"/>
              <w:right w:type="dxa" w:w="110"/>
            </w:tcMar>
          </w:tcPr>
          <w:p>
            <w:pPr>
              <w:spacing w:after="0" w:line="250"/>
            </w:pPr>
            <w:r>
              <w:rPr>
                <w:b/>
                <w:bCs/>
                <w:sz w:val="18"/>
                <w:szCs w:val="18"/>
              </w:rPr>
              <w:t xml:space="preserve">Statistical model</w:t>
            </w:r>
          </w:p>
        </w:tc>
        <w:tc>
          <w:tcPr>
            <w:tcW w:type="dxa" w:w="2700"/>
            <w:tcMar>
              <w:top w:type="dxa" w:w="70"/>
              <w:left w:type="dxa" w:w="110"/>
              <w:bottom w:type="dxa" w:w="70"/>
              <w:right w:type="dxa" w:w="110"/>
            </w:tcMar>
          </w:tcPr>
          <w:p>
            <w:pPr>
              <w:spacing w:after="0" w:line="250"/>
            </w:pPr>
            <w:r>
              <w:rPr>
                <w:b w:val="false"/>
                <w:bCs w:val="false"/>
                <w:sz w:val="18"/>
                <w:szCs w:val="18"/>
              </w:rPr>
              <w:t xml:space="preserve">sktime AutoARIMA</w:t>
            </w:r>
          </w:p>
        </w:tc>
        <w:tc>
          <w:tcPr>
            <w:tcW w:type="dxa" w:w="4740"/>
            <w:tcMar>
              <w:top w:type="dxa" w:w="70"/>
              <w:left w:type="dxa" w:w="110"/>
              <w:bottom w:type="dxa" w:w="70"/>
              <w:right w:type="dxa" w:w="110"/>
            </w:tcMar>
          </w:tcPr>
          <w:p>
            <w:pPr>
              <w:spacing w:after="0" w:line="250"/>
            </w:pPr>
            <w:r>
              <w:rPr>
                <w:b w:val="false"/>
                <w:bCs w:val="false"/>
                <w:sz w:val="18"/>
                <w:szCs w:val="18"/>
              </w:rPr>
              <w:t xml:space="preserve">02_SRC/Arima_forecasting.py, per series</w:t>
            </w:r>
          </w:p>
        </w:tc>
      </w:tr>
      <w:tr>
        <w:tc>
          <w:tcPr>
            <w:tcW w:type="dxa" w:w="2400"/>
            <w:shd w:fill="F7F9FB" w:color="auto" w:val="clear"/>
            <w:tcMar>
              <w:top w:type="dxa" w:w="70"/>
              <w:left w:type="dxa" w:w="110"/>
              <w:bottom w:type="dxa" w:w="70"/>
              <w:right w:type="dxa" w:w="110"/>
            </w:tcMar>
          </w:tcPr>
          <w:p>
            <w:pPr>
              <w:spacing w:after="0" w:line="250"/>
            </w:pPr>
            <w:r>
              <w:rPr>
                <w:b/>
                <w:bCs/>
                <w:sz w:val="18"/>
                <w:szCs w:val="18"/>
              </w:rPr>
              <w:t xml:space="preserve">Neural model</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TensorFlow/Keras LSTM</w:t>
            </w:r>
          </w:p>
        </w:tc>
        <w:tc>
          <w:tcPr>
            <w:tcW w:type="dxa" w:w="4740"/>
            <w:shd w:fill="F7F9FB" w:color="auto" w:val="clear"/>
            <w:tcMar>
              <w:top w:type="dxa" w:w="70"/>
              <w:left w:type="dxa" w:w="110"/>
              <w:bottom w:type="dxa" w:w="70"/>
              <w:right w:type="dxa" w:w="110"/>
            </w:tcMar>
          </w:tcPr>
          <w:p>
            <w:pPr>
              <w:spacing w:after="0" w:line="250"/>
            </w:pPr>
            <w:r>
              <w:rPr>
                <w:b w:val="false"/>
                <w:bCs w:val="false"/>
                <w:sz w:val="18"/>
                <w:szCs w:val="18"/>
              </w:rPr>
              <w:t xml:space="preserve">02_SRC/Multivariate_forecasting.py, joint across 30 series</w:t>
            </w:r>
          </w:p>
        </w:tc>
      </w:tr>
      <w:tr>
        <w:tc>
          <w:tcPr>
            <w:tcW w:type="dxa" w:w="2400"/>
            <w:tcMar>
              <w:top w:type="dxa" w:w="70"/>
              <w:left w:type="dxa" w:w="110"/>
              <w:bottom w:type="dxa" w:w="70"/>
              <w:right w:type="dxa" w:w="110"/>
            </w:tcMar>
          </w:tcPr>
          <w:p>
            <w:pPr>
              <w:spacing w:after="0" w:line="250"/>
            </w:pPr>
            <w:r>
              <w:rPr>
                <w:b/>
                <w:bCs/>
                <w:sz w:val="18"/>
                <w:szCs w:val="18"/>
              </w:rPr>
              <w:t xml:space="preserve">Evaluation</w:t>
            </w:r>
          </w:p>
        </w:tc>
        <w:tc>
          <w:tcPr>
            <w:tcW w:type="dxa" w:w="2700"/>
            <w:tcMar>
              <w:top w:type="dxa" w:w="70"/>
              <w:left w:type="dxa" w:w="110"/>
              <w:bottom w:type="dxa" w:w="70"/>
              <w:right w:type="dxa" w:w="110"/>
            </w:tcMar>
          </w:tcPr>
          <w:p>
            <w:pPr>
              <w:spacing w:after="0" w:line="250"/>
            </w:pPr>
            <w:r>
              <w:rPr>
                <w:b w:val="false"/>
                <w:bCs w:val="false"/>
                <w:sz w:val="18"/>
                <w:szCs w:val="18"/>
              </w:rPr>
              <w:t xml:space="preserve">02_SRC/forecasting.py</w:t>
            </w:r>
          </w:p>
        </w:tc>
        <w:tc>
          <w:tcPr>
            <w:tcW w:type="dxa" w:w="4740"/>
            <w:tcMar>
              <w:top w:type="dxa" w:w="70"/>
              <w:left w:type="dxa" w:w="110"/>
              <w:bottom w:type="dxa" w:w="70"/>
              <w:right w:type="dxa" w:w="110"/>
            </w:tcMar>
          </w:tcPr>
          <w:p>
            <w:pPr>
              <w:spacing w:after="0" w:line="250"/>
            </w:pPr>
            <w:r>
              <w:rPr>
                <w:b w:val="false"/>
                <w:bCs w:val="false"/>
                <w:sz w:val="18"/>
                <w:szCs w:val="18"/>
              </w:rPr>
              <w:t xml:space="preserve">evaluate_arima_holdout(), compare_arima_lstm(), _naive_forecast()</w:t>
            </w:r>
          </w:p>
        </w:tc>
      </w:tr>
      <w:tr>
        <w:tc>
          <w:tcPr>
            <w:tcW w:type="dxa" w:w="2400"/>
            <w:shd w:fill="F7F9FB" w:color="auto" w:val="clear"/>
            <w:tcMar>
              <w:top w:type="dxa" w:w="70"/>
              <w:left w:type="dxa" w:w="110"/>
              <w:bottom w:type="dxa" w:w="70"/>
              <w:right w:type="dxa" w:w="110"/>
            </w:tcMar>
          </w:tcPr>
          <w:p>
            <w:pPr>
              <w:spacing w:after="0" w:line="250"/>
            </w:pPr>
            <w:r>
              <w:rPr>
                <w:b/>
                <w:bCs/>
                <w:sz w:val="18"/>
                <w:szCs w:val="18"/>
              </w:rPr>
              <w:t xml:space="preserve">Artifacts</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03_outputs/</w:t>
            </w:r>
          </w:p>
        </w:tc>
        <w:tc>
          <w:tcPr>
            <w:tcW w:type="dxa" w:w="4740"/>
            <w:shd w:fill="F7F9FB" w:color="auto" w:val="clear"/>
            <w:tcMar>
              <w:top w:type="dxa" w:w="70"/>
              <w:left w:type="dxa" w:w="110"/>
              <w:bottom w:type="dxa" w:w="70"/>
              <w:right w:type="dxa" w:w="110"/>
            </w:tcMar>
          </w:tcPr>
          <w:p>
            <w:pPr>
              <w:spacing w:after="0" w:line="250"/>
            </w:pPr>
            <w:r>
              <w:rPr>
                <w:b w:val="false"/>
                <w:bCs w:val="false"/>
                <w:sz w:val="18"/>
                <w:szCs w:val="18"/>
              </w:rPr>
              <w:t xml:space="preserve">Trained .h5, predictions .pkl, comparison CSV</w:t>
            </w:r>
          </w:p>
        </w:tc>
      </w:tr>
      <w:tr>
        <w:tc>
          <w:tcPr>
            <w:tcW w:type="dxa" w:w="2400"/>
            <w:tcMar>
              <w:top w:type="dxa" w:w="70"/>
              <w:left w:type="dxa" w:w="110"/>
              <w:bottom w:type="dxa" w:w="70"/>
              <w:right w:type="dxa" w:w="110"/>
            </w:tcMar>
          </w:tcPr>
          <w:p>
            <w:pPr>
              <w:spacing w:after="0" w:line="250"/>
            </w:pPr>
            <w:r>
              <w:rPr>
                <w:b/>
                <w:bCs/>
                <w:sz w:val="18"/>
                <w:szCs w:val="18"/>
              </w:rPr>
              <w:t xml:space="preserve">Application</w:t>
            </w:r>
          </w:p>
        </w:tc>
        <w:tc>
          <w:tcPr>
            <w:tcW w:type="dxa" w:w="2700"/>
            <w:tcMar>
              <w:top w:type="dxa" w:w="70"/>
              <w:left w:type="dxa" w:w="110"/>
              <w:bottom w:type="dxa" w:w="70"/>
              <w:right w:type="dxa" w:w="110"/>
            </w:tcMar>
          </w:tcPr>
          <w:p>
            <w:pPr>
              <w:spacing w:after="0" w:line="250"/>
            </w:pPr>
            <w:r>
              <w:rPr>
                <w:b w:val="false"/>
                <w:bCs w:val="false"/>
                <w:sz w:val="18"/>
                <w:szCs w:val="18"/>
              </w:rPr>
              <w:t xml:space="preserve">Streamlit (app.py)</w:t>
            </w:r>
          </w:p>
        </w:tc>
        <w:tc>
          <w:tcPr>
            <w:tcW w:type="dxa" w:w="4740"/>
            <w:tcMar>
              <w:top w:type="dxa" w:w="70"/>
              <w:left w:type="dxa" w:w="110"/>
              <w:bottom w:type="dxa" w:w="70"/>
              <w:right w:type="dxa" w:w="110"/>
            </w:tcMar>
          </w:tcPr>
          <w:p>
            <w:pPr>
              <w:spacing w:after="0" w:line="250"/>
            </w:pPr>
            <w:r>
              <w:rPr>
                <w:b w:val="false"/>
                <w:bCs w:val="false"/>
                <w:sz w:val="18"/>
                <w:szCs w:val="18"/>
              </w:rPr>
              <w:t xml:space="preserve">KPIs, treemap, forecast chart, model comparison</w:t>
            </w:r>
          </w:p>
        </w:tc>
      </w:tr>
      <w:tr>
        <w:tc>
          <w:tcPr>
            <w:tcW w:type="dxa" w:w="2400"/>
            <w:shd w:fill="F7F9FB" w:color="auto" w:val="clear"/>
            <w:tcMar>
              <w:top w:type="dxa" w:w="70"/>
              <w:left w:type="dxa" w:w="110"/>
              <w:bottom w:type="dxa" w:w="70"/>
              <w:right w:type="dxa" w:w="110"/>
            </w:tcMar>
          </w:tcPr>
          <w:p>
            <w:pPr>
              <w:spacing w:after="0" w:line="250"/>
            </w:pPr>
            <w:r>
              <w:rPr>
                <w:b/>
                <w:bCs/>
                <w:sz w:val="18"/>
                <w:szCs w:val="18"/>
              </w:rPr>
              <w:t xml:space="preserve">Serving</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Cloud Run + Cloud Build</w:t>
            </w:r>
          </w:p>
        </w:tc>
        <w:tc>
          <w:tcPr>
            <w:tcW w:type="dxa" w:w="4740"/>
            <w:shd w:fill="F7F9FB" w:color="auto" w:val="clear"/>
            <w:tcMar>
              <w:top w:type="dxa" w:w="70"/>
              <w:left w:type="dxa" w:w="110"/>
              <w:bottom w:type="dxa" w:w="70"/>
              <w:right w:type="dxa" w:w="110"/>
            </w:tcMar>
          </w:tcPr>
          <w:p>
            <w:pPr>
              <w:spacing w:after="0" w:line="250"/>
            </w:pPr>
            <w:r>
              <w:rPr>
                <w:b w:val="false"/>
                <w:bCs w:val="false"/>
                <w:sz w:val="18"/>
                <w:szCs w:val="18"/>
              </w:rPr>
              <w:t xml:space="preserve">Dockerfile on python:3.12-slim</w:t>
            </w:r>
          </w:p>
        </w:tc>
      </w:tr>
    </w:tbl>
    <w:p>
      <w:pPr>
        <w:pStyle w:val="Heading2"/>
      </w:pPr>
      <w:r>
        <w:t xml:space="preserve">Data flow</w:t>
      </w:r>
    </w:p>
    <w:p>
      <w:pPr>
        <w:pStyle w:val="ListParagraph"/>
        <w:numPr>
          <w:ilvl w:val="0"/>
          <w:numId w:val="3"/>
        </w:numPr>
        <w:spacing w:after="90"/>
      </w:pPr>
      <w:r>
        <w:t xml:space="preserve">00_data_raw/*.xlsx → SQLite via collect_data()</w:t>
      </w:r>
    </w:p>
    <w:p>
      <w:pPr>
        <w:pStyle w:val="ListParagraph"/>
        <w:numPr>
          <w:ilvl w:val="0"/>
          <w:numId w:val="3"/>
        </w:numPr>
        <w:spacing w:after="90"/>
      </w:pPr>
      <w:r>
        <w:t xml:space="preserve">SQLite → monthly aggregates via summarize_by_time()</w:t>
      </w:r>
    </w:p>
    <w:p>
      <w:pPr>
        <w:pStyle w:val="ListParagraph"/>
        <w:numPr>
          <w:ilvl w:val="0"/>
          <w:numId w:val="3"/>
        </w:numPr>
        <w:spacing w:after="90"/>
      </w:pPr>
      <w:r>
        <w:t xml:space="preserve">aggregates → AutoARIMA per series → forecasts + 95% intervals</w:t>
      </w:r>
    </w:p>
    <w:p>
      <w:pPr>
        <w:pStyle w:val="ListParagraph"/>
        <w:numPr>
          <w:ilvl w:val="0"/>
          <w:numId w:val="3"/>
        </w:numPr>
        <w:spacing w:after="90"/>
      </w:pPr>
      <w:r>
        <w:t xml:space="preserve">aggregates → scaled 3-month windows → LSTM → 03_outputs/*.pkl (committed)</w:t>
      </w:r>
    </w:p>
    <w:p>
      <w:pPr>
        <w:pStyle w:val="ListParagraph"/>
        <w:numPr>
          <w:ilvl w:val="0"/>
          <w:numId w:val="3"/>
        </w:numPr>
        <w:spacing w:after="90"/>
      </w:pPr>
      <w:r>
        <w:t xml:space="preserve">03_outputs/ → Streamlit app → Cloud Run</w:t>
      </w:r>
    </w:p>
    <w:p>
      <w:pPr>
        <w:pStyle w:val="Heading1"/>
      </w:pPr>
      <w:r>
        <w:t xml:space="preserve">7. Deployment</w:t>
      </w:r>
    </w:p>
    <w:p>
      <w:pPr>
        <w:pStyle w:val="Heading2"/>
      </w:pPr>
      <w:r>
        <w:t xml:space="preserve">Current state</w:t>
      </w:r>
    </w:p>
    <w:p>
      <w:r>
        <w:t xml:space="preserve">Live on Google Cloud Run at bikes-forecast-6trxjbynbq-uc.a.run.app. Built from a python:3.12-slim Dockerfile; deployable either by cloudbuild.yaml or the deploy.sh script, which use identical resource settings. TensorFlow is deliberately absent from requirements.txt — the app loads pre-computed predictions instead, which is what keeps the image small enough for a 512Mi instance.</w:t>
      </w:r>
    </w:p>
    <w:p>
      <w:pPr>
        <w:pStyle w:val="Heading2"/>
      </w:pPr>
      <w:r>
        <w:t xml:space="preserve">Configuration</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2700"/>
        <w:gridCol w:w="7140"/>
      </w:tblGrid>
      <w:tr>
        <w:trPr>
          <w:tblHeader/>
        </w:trPr>
        <w:tc>
          <w:tcPr>
            <w:tcW w:type="dxa" w:w="2700"/>
            <w:shd w:fill="EEF3F8" w:color="auto" w:val="clear"/>
            <w:tcMar>
              <w:top w:type="dxa" w:w="70"/>
              <w:left w:type="dxa" w:w="110"/>
              <w:bottom w:type="dxa" w:w="70"/>
              <w:right w:type="dxa" w:w="110"/>
            </w:tcMar>
          </w:tcPr>
          <w:p>
            <w:pPr>
              <w:spacing w:after="0" w:line="250"/>
            </w:pPr>
            <w:r>
              <w:rPr>
                <w:b/>
                <w:bCs/>
                <w:color w:val="1F4E79"/>
                <w:sz w:val="18"/>
                <w:szCs w:val="18"/>
              </w:rPr>
              <w:t xml:space="preserve">Setting</w:t>
            </w:r>
          </w:p>
        </w:tc>
        <w:tc>
          <w:tcPr>
            <w:tcW w:type="dxa" w:w="7140"/>
            <w:shd w:fill="EEF3F8" w:color="auto" w:val="clear"/>
            <w:tcMar>
              <w:top w:type="dxa" w:w="70"/>
              <w:left w:type="dxa" w:w="110"/>
              <w:bottom w:type="dxa" w:w="70"/>
              <w:right w:type="dxa" w:w="110"/>
            </w:tcMar>
          </w:tcPr>
          <w:p>
            <w:pPr>
              <w:spacing w:after="0" w:line="250"/>
            </w:pPr>
            <w:r>
              <w:rPr>
                <w:b/>
                <w:bCs/>
                <w:color w:val="1F4E79"/>
                <w:sz w:val="18"/>
                <w:szCs w:val="18"/>
              </w:rPr>
              <w:t xml:space="preserve">Value</w:t>
            </w:r>
          </w:p>
        </w:tc>
      </w:tr>
      <w:tr>
        <w:tc>
          <w:tcPr>
            <w:tcW w:type="dxa" w:w="2700"/>
            <w:tcMar>
              <w:top w:type="dxa" w:w="70"/>
              <w:left w:type="dxa" w:w="110"/>
              <w:bottom w:type="dxa" w:w="70"/>
              <w:right w:type="dxa" w:w="110"/>
            </w:tcMar>
          </w:tcPr>
          <w:p>
            <w:pPr>
              <w:spacing w:after="0" w:line="250"/>
            </w:pPr>
            <w:r>
              <w:rPr>
                <w:b/>
                <w:bCs/>
                <w:sz w:val="18"/>
                <w:szCs w:val="18"/>
              </w:rPr>
              <w:t xml:space="preserve">Platform</w:t>
            </w:r>
          </w:p>
        </w:tc>
        <w:tc>
          <w:tcPr>
            <w:tcW w:type="dxa" w:w="7140"/>
            <w:tcMar>
              <w:top w:type="dxa" w:w="70"/>
              <w:left w:type="dxa" w:w="110"/>
              <w:bottom w:type="dxa" w:w="70"/>
              <w:right w:type="dxa" w:w="110"/>
            </w:tcMar>
          </w:tcPr>
          <w:p>
            <w:pPr>
              <w:spacing w:after="0" w:line="250"/>
            </w:pPr>
            <w:r>
              <w:rPr>
                <w:b w:val="false"/>
                <w:bCs w:val="false"/>
                <w:sz w:val="18"/>
                <w:szCs w:val="18"/>
              </w:rPr>
              <w:t xml:space="preserve">Google Cloud Run</w:t>
            </w:r>
          </w:p>
        </w:tc>
      </w:tr>
      <w:tr>
        <w:tc>
          <w:tcPr>
            <w:tcW w:type="dxa" w:w="2700"/>
            <w:shd w:fill="F7F9FB" w:color="auto" w:val="clear"/>
            <w:tcMar>
              <w:top w:type="dxa" w:w="70"/>
              <w:left w:type="dxa" w:w="110"/>
              <w:bottom w:type="dxa" w:w="70"/>
              <w:right w:type="dxa" w:w="110"/>
            </w:tcMar>
          </w:tcPr>
          <w:p>
            <w:pPr>
              <w:spacing w:after="0" w:line="250"/>
            </w:pPr>
            <w:r>
              <w:rPr>
                <w:b/>
                <w:bCs/>
                <w:sz w:val="18"/>
                <w:szCs w:val="18"/>
              </w:rPr>
              <w:t xml:space="preserve">Base image</w:t>
            </w:r>
          </w:p>
        </w:tc>
        <w:tc>
          <w:tcPr>
            <w:tcW w:type="dxa" w:w="7140"/>
            <w:shd w:fill="F7F9FB" w:color="auto" w:val="clear"/>
            <w:tcMar>
              <w:top w:type="dxa" w:w="70"/>
              <w:left w:type="dxa" w:w="110"/>
              <w:bottom w:type="dxa" w:w="70"/>
              <w:right w:type="dxa" w:w="110"/>
            </w:tcMar>
          </w:tcPr>
          <w:p>
            <w:pPr>
              <w:spacing w:after="0" w:line="250"/>
            </w:pPr>
            <w:r>
              <w:rPr>
                <w:b w:val="false"/>
                <w:bCs w:val="false"/>
                <w:sz w:val="18"/>
                <w:szCs w:val="18"/>
              </w:rPr>
              <w:t xml:space="preserve">python:3.12-slim</w:t>
            </w:r>
          </w:p>
        </w:tc>
      </w:tr>
      <w:tr>
        <w:tc>
          <w:tcPr>
            <w:tcW w:type="dxa" w:w="2700"/>
            <w:tcMar>
              <w:top w:type="dxa" w:w="70"/>
              <w:left w:type="dxa" w:w="110"/>
              <w:bottom w:type="dxa" w:w="70"/>
              <w:right w:type="dxa" w:w="110"/>
            </w:tcMar>
          </w:tcPr>
          <w:p>
            <w:pPr>
              <w:spacing w:after="0" w:line="250"/>
            </w:pPr>
            <w:r>
              <w:rPr>
                <w:b/>
                <w:bCs/>
                <w:sz w:val="18"/>
                <w:szCs w:val="18"/>
              </w:rPr>
              <w:t xml:space="preserve">Memory / CPU</w:t>
            </w:r>
          </w:p>
        </w:tc>
        <w:tc>
          <w:tcPr>
            <w:tcW w:type="dxa" w:w="7140"/>
            <w:tcMar>
              <w:top w:type="dxa" w:w="70"/>
              <w:left w:type="dxa" w:w="110"/>
              <w:bottom w:type="dxa" w:w="70"/>
              <w:right w:type="dxa" w:w="110"/>
            </w:tcMar>
          </w:tcPr>
          <w:p>
            <w:pPr>
              <w:spacing w:after="0" w:line="250"/>
            </w:pPr>
            <w:r>
              <w:rPr>
                <w:b w:val="false"/>
                <w:bCs w:val="false"/>
                <w:sz w:val="18"/>
                <w:szCs w:val="18"/>
              </w:rPr>
              <w:t xml:space="preserve">512Mi / 1 vCPU</w:t>
            </w:r>
          </w:p>
        </w:tc>
      </w:tr>
      <w:tr>
        <w:tc>
          <w:tcPr>
            <w:tcW w:type="dxa" w:w="2700"/>
            <w:shd w:fill="F7F9FB" w:color="auto" w:val="clear"/>
            <w:tcMar>
              <w:top w:type="dxa" w:w="70"/>
              <w:left w:type="dxa" w:w="110"/>
              <w:bottom w:type="dxa" w:w="70"/>
              <w:right w:type="dxa" w:w="110"/>
            </w:tcMar>
          </w:tcPr>
          <w:p>
            <w:pPr>
              <w:spacing w:after="0" w:line="250"/>
            </w:pPr>
            <w:r>
              <w:rPr>
                <w:b/>
                <w:bCs/>
                <w:sz w:val="18"/>
                <w:szCs w:val="18"/>
              </w:rPr>
              <w:t xml:space="preserve">Scaling</w:t>
            </w:r>
          </w:p>
        </w:tc>
        <w:tc>
          <w:tcPr>
            <w:tcW w:type="dxa" w:w="7140"/>
            <w:shd w:fill="F7F9FB" w:color="auto" w:val="clear"/>
            <w:tcMar>
              <w:top w:type="dxa" w:w="70"/>
              <w:left w:type="dxa" w:w="110"/>
              <w:bottom w:type="dxa" w:w="70"/>
              <w:right w:type="dxa" w:w="110"/>
            </w:tcMar>
          </w:tcPr>
          <w:p>
            <w:pPr>
              <w:spacing w:after="0" w:line="250"/>
            </w:pPr>
            <w:r>
              <w:rPr>
                <w:b w:val="false"/>
                <w:bCs w:val="false"/>
                <w:sz w:val="18"/>
                <w:szCs w:val="18"/>
              </w:rPr>
              <w:t xml:space="preserve">min-instances=0, max-instances=2 (scale to zero)</w:t>
            </w:r>
          </w:p>
        </w:tc>
      </w:tr>
      <w:tr>
        <w:tc>
          <w:tcPr>
            <w:tcW w:type="dxa" w:w="2700"/>
            <w:tcMar>
              <w:top w:type="dxa" w:w="70"/>
              <w:left w:type="dxa" w:w="110"/>
              <w:bottom w:type="dxa" w:w="70"/>
              <w:right w:type="dxa" w:w="110"/>
            </w:tcMar>
          </w:tcPr>
          <w:p>
            <w:pPr>
              <w:spacing w:after="0" w:line="250"/>
            </w:pPr>
            <w:r>
              <w:rPr>
                <w:b/>
                <w:bCs/>
                <w:sz w:val="18"/>
                <w:szCs w:val="18"/>
              </w:rPr>
              <w:t xml:space="preserve">Build</w:t>
            </w:r>
          </w:p>
        </w:tc>
        <w:tc>
          <w:tcPr>
            <w:tcW w:type="dxa" w:w="7140"/>
            <w:tcMar>
              <w:top w:type="dxa" w:w="70"/>
              <w:left w:type="dxa" w:w="110"/>
              <w:bottom w:type="dxa" w:w="70"/>
              <w:right w:type="dxa" w:w="110"/>
            </w:tcMar>
          </w:tcPr>
          <w:p>
            <w:pPr>
              <w:spacing w:after="0" w:line="250"/>
            </w:pPr>
            <w:r>
              <w:rPr>
                <w:b w:val="false"/>
                <w:bCs w:val="false"/>
                <w:sz w:val="18"/>
                <w:szCs w:val="18"/>
              </w:rPr>
              <w:t xml:space="preserve">cloudbuild.yaml or deploy.sh</w:t>
            </w:r>
          </w:p>
        </w:tc>
      </w:tr>
      <w:tr>
        <w:tc>
          <w:tcPr>
            <w:tcW w:type="dxa" w:w="2700"/>
            <w:shd w:fill="F7F9FB" w:color="auto" w:val="clear"/>
            <w:tcMar>
              <w:top w:type="dxa" w:w="70"/>
              <w:left w:type="dxa" w:w="110"/>
              <w:bottom w:type="dxa" w:w="70"/>
              <w:right w:type="dxa" w:w="110"/>
            </w:tcMar>
          </w:tcPr>
          <w:p>
            <w:pPr>
              <w:spacing w:after="0" w:line="250"/>
            </w:pPr>
            <w:r>
              <w:rPr>
                <w:b/>
                <w:bCs/>
                <w:sz w:val="18"/>
                <w:szCs w:val="18"/>
              </w:rPr>
              <w:t xml:space="preserve">Runtime deps</w:t>
            </w:r>
          </w:p>
        </w:tc>
        <w:tc>
          <w:tcPr>
            <w:tcW w:type="dxa" w:w="7140"/>
            <w:shd w:fill="F7F9FB" w:color="auto" w:val="clear"/>
            <w:tcMar>
              <w:top w:type="dxa" w:w="70"/>
              <w:left w:type="dxa" w:w="110"/>
              <w:bottom w:type="dxa" w:w="70"/>
              <w:right w:type="dxa" w:w="110"/>
            </w:tcMar>
          </w:tcPr>
          <w:p>
            <w:pPr>
              <w:spacing w:after="0" w:line="250"/>
            </w:pPr>
            <w:r>
              <w:rPr>
                <w:b w:val="false"/>
                <w:bCs w:val="false"/>
                <w:sz w:val="18"/>
                <w:szCs w:val="18"/>
              </w:rPr>
              <w:t xml:space="preserve">requirements.txt — no TensorFlow (requirements-train.txt is separate)</w:t>
            </w:r>
          </w:p>
        </w:tc>
      </w:tr>
    </w:tbl>
    <w:p>
      <w:pPr>
        <w:pStyle w:val="Heading2"/>
      </w:pPr>
      <w:r>
        <w:t xml:space="preserve">Gaps</w:t>
      </w:r>
    </w:p>
    <w:p>
      <w:r>
        <w:t xml:space="preserve">Forecasts are static artifacts committed to the repository. There is no retraining job, no model registry, and no mechanism to notice that the committed predictions have gone stale relative to new sales data.</w:t>
      </w:r>
    </w:p>
    <w:p>
      <w:pPr>
        <w:pStyle w:val="Heading1"/>
      </w:pPr>
      <w:r>
        <w:t xml:space="preserve">8. Monitoring &amp; Observability</w:t>
      </w:r>
    </w:p>
    <w:p>
      <w:pPr>
        <w:pStyle w:val="Heading2"/>
      </w:pPr>
      <w:r>
        <w:t xml:space="preserve">Current state</w:t>
      </w:r>
    </w:p>
    <w:p>
      <w:r>
        <w:t xml:space="preserve">The dashboard's Model Performance Comparison section shows MAE, RMSE, and MASE per model against the naive baseline, so a user can see how much each model actually beats a trivial forecast. Cloud Run supplies request and error metrics by default.</w:t>
      </w:r>
    </w:p>
    <w:p>
      <w:pPr>
        <w:pStyle w:val="Heading2"/>
      </w:pPr>
      <w:r>
        <w:t xml:space="preserve">Gaps</w:t>
      </w:r>
    </w:p>
    <w:p>
      <w:r>
        <w:t xml:space="preserve">No forecast-accuracy tracking once actuals arrive, no data freshness check, no alert if the app is serving predictions generated months ago, and no logging of which artifact version is loaded.</w:t>
      </w:r>
    </w:p>
    <w:p>
      <w:pPr>
        <w:pStyle w:val="Heading1"/>
      </w:pPr>
      <w:r>
        <w:t xml:space="preserve">9. Risks &amp; Mitigations</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3800"/>
        <w:gridCol w:w="1240"/>
        <w:gridCol w:w="4800"/>
      </w:tblGrid>
      <w:tr>
        <w:trPr>
          <w:tblHeader/>
        </w:trPr>
        <w:tc>
          <w:tcPr>
            <w:tcW w:type="dxa" w:w="3800"/>
            <w:shd w:fill="EEF3F8" w:color="auto" w:val="clear"/>
            <w:tcMar>
              <w:top w:type="dxa" w:w="70"/>
              <w:left w:type="dxa" w:w="110"/>
              <w:bottom w:type="dxa" w:w="70"/>
              <w:right w:type="dxa" w:w="110"/>
            </w:tcMar>
          </w:tcPr>
          <w:p>
            <w:pPr>
              <w:spacing w:after="0" w:line="250"/>
            </w:pPr>
            <w:r>
              <w:rPr>
                <w:b/>
                <w:bCs/>
                <w:color w:val="1F4E79"/>
                <w:sz w:val="18"/>
                <w:szCs w:val="18"/>
              </w:rPr>
              <w:t xml:space="preserve">Risk</w:t>
            </w:r>
          </w:p>
        </w:tc>
        <w:tc>
          <w:tcPr>
            <w:tcW w:type="dxa" w:w="1240"/>
            <w:shd w:fill="EEF3F8" w:color="auto" w:val="clear"/>
            <w:tcMar>
              <w:top w:type="dxa" w:w="70"/>
              <w:left w:type="dxa" w:w="110"/>
              <w:bottom w:type="dxa" w:w="70"/>
              <w:right w:type="dxa" w:w="110"/>
            </w:tcMar>
          </w:tcPr>
          <w:p>
            <w:pPr>
              <w:spacing w:after="0" w:line="250"/>
            </w:pPr>
            <w:r>
              <w:rPr>
                <w:b/>
                <w:bCs/>
                <w:color w:val="1F4E79"/>
                <w:sz w:val="18"/>
                <w:szCs w:val="18"/>
              </w:rPr>
              <w:t xml:space="preserve">Severity</w:t>
            </w:r>
          </w:p>
        </w:tc>
        <w:tc>
          <w:tcPr>
            <w:tcW w:type="dxa" w:w="4800"/>
            <w:shd w:fill="EEF3F8" w:color="auto" w:val="clear"/>
            <w:tcMar>
              <w:top w:type="dxa" w:w="70"/>
              <w:left w:type="dxa" w:w="110"/>
              <w:bottom w:type="dxa" w:w="70"/>
              <w:right w:type="dxa" w:w="110"/>
            </w:tcMar>
          </w:tcPr>
          <w:p>
            <w:pPr>
              <w:spacing w:after="0" w:line="250"/>
            </w:pPr>
            <w:r>
              <w:rPr>
                <w:b/>
                <w:bCs/>
                <w:color w:val="1F4E79"/>
                <w:sz w:val="18"/>
                <w:szCs w:val="18"/>
              </w:rPr>
              <w:t xml:space="preserve">Mitigation</w:t>
            </w:r>
          </w:p>
        </w:tc>
      </w:tr>
      <w:tr>
        <w:tc>
          <w:tcPr>
            <w:tcW w:type="dxa" w:w="3800"/>
            <w:tcMar>
              <w:top w:type="dxa" w:w="70"/>
              <w:left w:type="dxa" w:w="110"/>
              <w:bottom w:type="dxa" w:w="70"/>
              <w:right w:type="dxa" w:w="110"/>
            </w:tcMar>
          </w:tcPr>
          <w:p>
            <w:pPr>
              <w:spacing w:after="0" w:line="250"/>
            </w:pPr>
            <w:r>
              <w:rPr>
                <w:b w:val="false"/>
                <w:bCs w:val="false"/>
                <w:sz w:val="18"/>
                <w:szCs w:val="18"/>
              </w:rPr>
              <w:t xml:space="preserve">Point forecasts used for inventory or staffing decisions without uncertainty</w:t>
            </w:r>
          </w:p>
        </w:tc>
        <w:tc>
          <w:tcPr>
            <w:tcW w:type="dxa" w:w="1240"/>
            <w:tcMar>
              <w:top w:type="dxa" w:w="70"/>
              <w:left w:type="dxa" w:w="110"/>
              <w:bottom w:type="dxa" w:w="70"/>
              <w:right w:type="dxa" w:w="110"/>
            </w:tcMar>
          </w:tcPr>
          <w:p>
            <w:pPr>
              <w:spacing w:after="0" w:line="250"/>
            </w:pPr>
            <w:r>
              <w:rPr>
                <w:b/>
                <w:bCs/>
                <w:color w:val="8A4B08"/>
                <w:sz w:val="18"/>
                <w:szCs w:val="18"/>
              </w:rPr>
              <w:t xml:space="preserve">Medium</w:t>
            </w:r>
          </w:p>
        </w:tc>
        <w:tc>
          <w:tcPr>
            <w:tcW w:type="dxa" w:w="4800"/>
            <w:tcMar>
              <w:top w:type="dxa" w:w="70"/>
              <w:left w:type="dxa" w:w="110"/>
              <w:bottom w:type="dxa" w:w="70"/>
              <w:right w:type="dxa" w:w="110"/>
            </w:tcMar>
          </w:tcPr>
          <w:p>
            <w:pPr>
              <w:spacing w:after="0" w:line="250"/>
            </w:pPr>
            <w:r>
              <w:rPr>
                <w:b w:val="false"/>
                <w:bCs w:val="false"/>
                <w:sz w:val="18"/>
                <w:szCs w:val="18"/>
              </w:rPr>
              <w:t xml:space="preserve">AutoARIMA's 95% intervals are shown alongside LSTM points; MASE vs naive is displayed so users see the real lift.</w:t>
            </w:r>
          </w:p>
        </w:tc>
      </w:tr>
      <w:tr>
        <w:tc>
          <w:tcPr>
            <w:tcW w:type="dxa" w:w="3800"/>
            <w:shd w:fill="F7F9FB" w:color="auto" w:val="clear"/>
            <w:tcMar>
              <w:top w:type="dxa" w:w="70"/>
              <w:left w:type="dxa" w:w="110"/>
              <w:bottom w:type="dxa" w:w="70"/>
              <w:right w:type="dxa" w:w="110"/>
            </w:tcMar>
          </w:tcPr>
          <w:p>
            <w:pPr>
              <w:spacing w:after="0" w:line="250"/>
            </w:pPr>
            <w:r>
              <w:rPr>
                <w:b w:val="false"/>
                <w:bCs w:val="false"/>
                <w:sz w:val="18"/>
                <w:szCs w:val="18"/>
              </w:rPr>
              <w:t xml:space="preserve">Silent staleness — committed predictions keep serving after patterns change</w:t>
            </w:r>
          </w:p>
        </w:tc>
        <w:tc>
          <w:tcPr>
            <w:tcW w:type="dxa" w:w="1240"/>
            <w:shd w:fill="F7F9FB" w:color="auto" w:val="clear"/>
            <w:tcMar>
              <w:top w:type="dxa" w:w="70"/>
              <w:left w:type="dxa" w:w="110"/>
              <w:bottom w:type="dxa" w:w="70"/>
              <w:right w:type="dxa" w:w="110"/>
            </w:tcMar>
          </w:tcPr>
          <w:p>
            <w:pPr>
              <w:spacing w:after="0" w:line="250"/>
            </w:pPr>
            <w:r>
              <w:rPr>
                <w:b/>
                <w:bCs/>
                <w:color w:val="A83232"/>
                <w:sz w:val="18"/>
                <w:szCs w:val="18"/>
              </w:rPr>
              <w:t xml:space="preserve">High</w:t>
            </w:r>
          </w:p>
        </w:tc>
        <w:tc>
          <w:tcPr>
            <w:tcW w:type="dxa" w:w="4800"/>
            <w:shd w:fill="F7F9FB" w:color="auto" w:val="clear"/>
            <w:tcMar>
              <w:top w:type="dxa" w:w="70"/>
              <w:left w:type="dxa" w:w="110"/>
              <w:bottom w:type="dxa" w:w="70"/>
              <w:right w:type="dxa" w:w="110"/>
            </w:tcMar>
          </w:tcPr>
          <w:p>
            <w:pPr>
              <w:spacing w:after="0" w:line="250"/>
            </w:pPr>
            <w:r>
              <w:rPr>
                <w:b w:val="false"/>
                <w:bCs w:val="false"/>
                <w:sz w:val="18"/>
                <w:szCs w:val="18"/>
              </w:rPr>
              <w:t xml:space="preserve">Currently unmitigated. This is the top roadmap item.</w:t>
            </w:r>
          </w:p>
        </w:tc>
      </w:tr>
      <w:tr>
        <w:tc>
          <w:tcPr>
            <w:tcW w:type="dxa" w:w="3800"/>
            <w:tcMar>
              <w:top w:type="dxa" w:w="70"/>
              <w:left w:type="dxa" w:w="110"/>
              <w:bottom w:type="dxa" w:w="70"/>
              <w:right w:type="dxa" w:w="110"/>
            </w:tcMar>
          </w:tcPr>
          <w:p>
            <w:pPr>
              <w:spacing w:after="0" w:line="250"/>
            </w:pPr>
            <w:r>
              <w:rPr>
                <w:b w:val="false"/>
                <w:bCs w:val="false"/>
                <w:sz w:val="18"/>
                <w:szCs w:val="18"/>
              </w:rPr>
              <w:t xml:space="preserve">README data counts do not match the committed database</w:t>
            </w:r>
          </w:p>
        </w:tc>
        <w:tc>
          <w:tcPr>
            <w:tcW w:type="dxa" w:w="1240"/>
            <w:tcMar>
              <w:top w:type="dxa" w:w="70"/>
              <w:left w:type="dxa" w:w="110"/>
              <w:bottom w:type="dxa" w:w="70"/>
              <w:right w:type="dxa" w:w="110"/>
            </w:tcMar>
          </w:tcPr>
          <w:p>
            <w:pPr>
              <w:spacing w:after="0" w:line="250"/>
            </w:pPr>
            <w:r>
              <w:rPr>
                <w:b/>
                <w:bCs/>
                <w:color w:val="8A4B08"/>
                <w:sz w:val="18"/>
                <w:szCs w:val="18"/>
              </w:rPr>
              <w:t xml:space="preserve">Medium</w:t>
            </w:r>
          </w:p>
        </w:tc>
        <w:tc>
          <w:tcPr>
            <w:tcW w:type="dxa" w:w="4800"/>
            <w:tcMar>
              <w:top w:type="dxa" w:w="70"/>
              <w:left w:type="dxa" w:w="110"/>
              <w:bottom w:type="dxa" w:w="70"/>
              <w:right w:type="dxa" w:w="110"/>
            </w:tcMar>
          </w:tcPr>
          <w:p>
            <w:pPr>
              <w:spacing w:after="0" w:line="250"/>
            </w:pPr>
            <w:r>
              <w:rPr>
                <w:b w:val="false"/>
                <w:bCs w:val="false"/>
                <w:sz w:val="18"/>
                <w:szCs w:val="18"/>
              </w:rPr>
              <w:t xml:space="preserve">Recorded in the data card; needs reconciling before the repo is shown to reviewers.</w:t>
            </w:r>
          </w:p>
        </w:tc>
      </w:tr>
      <w:tr>
        <w:tc>
          <w:tcPr>
            <w:tcW w:type="dxa" w:w="3800"/>
            <w:shd w:fill="F7F9FB" w:color="auto" w:val="clear"/>
            <w:tcMar>
              <w:top w:type="dxa" w:w="70"/>
              <w:left w:type="dxa" w:w="110"/>
              <w:bottom w:type="dxa" w:w="70"/>
              <w:right w:type="dxa" w:w="110"/>
            </w:tcMar>
          </w:tcPr>
          <w:p>
            <w:pPr>
              <w:spacing w:after="0" w:line="250"/>
            </w:pPr>
            <w:r>
              <w:rPr>
                <w:b w:val="false"/>
                <w:bCs w:val="false"/>
                <w:sz w:val="18"/>
                <w:szCs w:val="18"/>
              </w:rPr>
              <w:t xml:space="preserve">Synthetic data misread as real market insight</w:t>
            </w:r>
          </w:p>
        </w:tc>
        <w:tc>
          <w:tcPr>
            <w:tcW w:type="dxa" w:w="1240"/>
            <w:shd w:fill="F7F9FB" w:color="auto" w:val="clear"/>
            <w:tcMar>
              <w:top w:type="dxa" w:w="70"/>
              <w:left w:type="dxa" w:w="110"/>
              <w:bottom w:type="dxa" w:w="70"/>
              <w:right w:type="dxa" w:w="110"/>
            </w:tcMar>
          </w:tcPr>
          <w:p>
            <w:pPr>
              <w:spacing w:after="0" w:line="250"/>
            </w:pPr>
            <w:r>
              <w:rPr>
                <w:b/>
                <w:bCs/>
                <w:color w:val="4A6741"/>
                <w:sz w:val="18"/>
                <w:szCs w:val="18"/>
              </w:rPr>
              <w:t xml:space="preserve">Low</w:t>
            </w:r>
          </w:p>
        </w:tc>
        <w:tc>
          <w:tcPr>
            <w:tcW w:type="dxa" w:w="4800"/>
            <w:shd w:fill="F7F9FB" w:color="auto" w:val="clear"/>
            <w:tcMar>
              <w:top w:type="dxa" w:w="70"/>
              <w:left w:type="dxa" w:w="110"/>
              <w:bottom w:type="dxa" w:w="70"/>
              <w:right w:type="dxa" w:w="110"/>
            </w:tcMar>
          </w:tcPr>
          <w:p>
            <w:pPr>
              <w:spacing w:after="0" w:line="250"/>
            </w:pPr>
            <w:r>
              <w:rPr>
                <w:b w:val="false"/>
                <w:bCs w:val="false"/>
                <w:sz w:val="18"/>
                <w:szCs w:val="18"/>
              </w:rPr>
              <w:t xml:space="preserve">Stated in README, model card, and data card.</w:t>
            </w:r>
          </w:p>
        </w:tc>
      </w:tr>
    </w:tbl>
    <w:p>
      <w:pPr>
        <w:pStyle w:val="Heading1"/>
      </w:pPr>
      <w:r>
        <w:t xml:space="preserve">10. Productionization Roadmap</w:t>
      </w:r>
    </w:p>
    <w:p>
      <w:r>
        <w:t xml:space="preserve">What would be required to run this system for real. P0 items are correctness or safety issues that should be resolved before the work is presented as production-ready; P1 items close the gap to a serviceable deployment; P2 items are maturity improvements. Effort is a rough T-shirt size: S under a day, M a few days, L a week or more.</w:t>
      </w:r>
    </w:p>
    <w:tbl>
      <w:tblPr>
        <w:tblW w:type="dxa" w:w="9840"/>
        <w:tblBorders>
          <w:top w:val="single" w:color="D0D7DE" w:sz="4"/>
          <w:left w:val="single" w:color="D0D7DE" w:sz="4"/>
          <w:bottom w:val="single" w:color="D0D7DE" w:sz="4"/>
          <w:right w:val="single" w:color="D0D7DE" w:sz="4"/>
          <w:insideH w:val="single" w:color="D0D7DE" w:sz="2"/>
          <w:insideV w:val="single" w:color="D0D7DE" w:sz="2"/>
        </w:tblBorders>
      </w:tblPr>
      <w:tblGrid>
        <w:gridCol w:w="1700"/>
        <w:gridCol w:w="2700"/>
        <w:gridCol w:w="4540"/>
        <w:gridCol w:w="900"/>
      </w:tblGrid>
      <w:tr>
        <w:trPr>
          <w:tblHeader/>
        </w:trPr>
        <w:tc>
          <w:tcPr>
            <w:tcW w:type="dxa" w:w="1700"/>
            <w:shd w:fill="EEF3F8" w:color="auto" w:val="clear"/>
            <w:tcMar>
              <w:top w:type="dxa" w:w="70"/>
              <w:left w:type="dxa" w:w="110"/>
              <w:bottom w:type="dxa" w:w="70"/>
              <w:right w:type="dxa" w:w="110"/>
            </w:tcMar>
          </w:tcPr>
          <w:p>
            <w:pPr>
              <w:spacing w:after="0" w:line="250"/>
            </w:pPr>
            <w:r>
              <w:rPr>
                <w:b/>
                <w:bCs/>
                <w:color w:val="1F4E79"/>
                <w:sz w:val="18"/>
                <w:szCs w:val="18"/>
              </w:rPr>
              <w:t xml:space="preserve">Phase</w:t>
            </w:r>
          </w:p>
        </w:tc>
        <w:tc>
          <w:tcPr>
            <w:tcW w:type="dxa" w:w="2700"/>
            <w:shd w:fill="EEF3F8" w:color="auto" w:val="clear"/>
            <w:tcMar>
              <w:top w:type="dxa" w:w="70"/>
              <w:left w:type="dxa" w:w="110"/>
              <w:bottom w:type="dxa" w:w="70"/>
              <w:right w:type="dxa" w:w="110"/>
            </w:tcMar>
          </w:tcPr>
          <w:p>
            <w:pPr>
              <w:spacing w:after="0" w:line="250"/>
            </w:pPr>
            <w:r>
              <w:rPr>
                <w:b/>
                <w:bCs/>
                <w:color w:val="1F4E79"/>
                <w:sz w:val="18"/>
                <w:szCs w:val="18"/>
              </w:rPr>
              <w:t xml:space="preserve">Gap</w:t>
            </w:r>
          </w:p>
        </w:tc>
        <w:tc>
          <w:tcPr>
            <w:tcW w:type="dxa" w:w="4540"/>
            <w:shd w:fill="EEF3F8" w:color="auto" w:val="clear"/>
            <w:tcMar>
              <w:top w:type="dxa" w:w="70"/>
              <w:left w:type="dxa" w:w="110"/>
              <w:bottom w:type="dxa" w:w="70"/>
              <w:right w:type="dxa" w:w="110"/>
            </w:tcMar>
          </w:tcPr>
          <w:p>
            <w:pPr>
              <w:spacing w:after="0" w:line="250"/>
            </w:pPr>
            <w:r>
              <w:rPr>
                <w:b/>
                <w:bCs/>
                <w:color w:val="1F4E79"/>
                <w:sz w:val="18"/>
                <w:szCs w:val="18"/>
              </w:rPr>
              <w:t xml:space="preserve">Action</w:t>
            </w:r>
          </w:p>
        </w:tc>
        <w:tc>
          <w:tcPr>
            <w:tcW w:type="dxa" w:w="900"/>
            <w:shd w:fill="EEF3F8" w:color="auto" w:val="clear"/>
            <w:tcMar>
              <w:top w:type="dxa" w:w="70"/>
              <w:left w:type="dxa" w:w="110"/>
              <w:bottom w:type="dxa" w:w="70"/>
              <w:right w:type="dxa" w:w="110"/>
            </w:tcMar>
          </w:tcPr>
          <w:p>
            <w:pPr>
              <w:spacing w:after="0" w:line="250"/>
            </w:pPr>
            <w:r>
              <w:rPr>
                <w:b/>
                <w:bCs/>
                <w:color w:val="1F4E79"/>
                <w:sz w:val="18"/>
                <w:szCs w:val="18"/>
              </w:rPr>
              <w:t xml:space="preserve">Effort</w:t>
            </w:r>
          </w:p>
        </w:tc>
      </w:tr>
      <w:tr>
        <w:tc>
          <w:tcPr>
            <w:tcW w:type="dxa" w:w="1700"/>
            <w:shd w:fill="FBE9E7" w:color="auto" w:val="clear"/>
            <w:tcMar>
              <w:top w:type="dxa" w:w="70"/>
              <w:left w:type="dxa" w:w="110"/>
              <w:bottom w:type="dxa" w:w="70"/>
              <w:right w:type="dxa" w:w="110"/>
            </w:tcMar>
          </w:tcPr>
          <w:p>
            <w:pPr>
              <w:spacing w:after="0" w:line="250"/>
            </w:pPr>
            <w:r>
              <w:rPr>
                <w:b/>
                <w:bCs/>
                <w:sz w:val="18"/>
                <w:szCs w:val="18"/>
              </w:rPr>
              <w:t xml:space="preserve">P0 — Correctness</w:t>
            </w:r>
          </w:p>
        </w:tc>
        <w:tc>
          <w:tcPr>
            <w:tcW w:type="dxa" w:w="2700"/>
            <w:tcMar>
              <w:top w:type="dxa" w:w="70"/>
              <w:left w:type="dxa" w:w="110"/>
              <w:bottom w:type="dxa" w:w="70"/>
              <w:right w:type="dxa" w:w="110"/>
            </w:tcMar>
          </w:tcPr>
          <w:p>
            <w:pPr>
              <w:spacing w:after="0" w:line="250"/>
            </w:pPr>
            <w:r>
              <w:rPr>
                <w:b w:val="false"/>
                <w:bCs w:val="false"/>
                <w:sz w:val="18"/>
                <w:szCs w:val="18"/>
              </w:rPr>
              <w:t xml:space="preserve">README row counts and date range contradict the committed data</w:t>
            </w:r>
          </w:p>
        </w:tc>
        <w:tc>
          <w:tcPr>
            <w:tcW w:type="dxa" w:w="4540"/>
            <w:tcMar>
              <w:top w:type="dxa" w:w="70"/>
              <w:left w:type="dxa" w:w="110"/>
              <w:bottom w:type="dxa" w:w="70"/>
              <w:right w:type="dxa" w:w="110"/>
            </w:tcMar>
          </w:tcPr>
          <w:p>
            <w:pPr>
              <w:spacing w:after="0" w:line="250"/>
            </w:pPr>
            <w:r>
              <w:rPr>
                <w:b w:val="false"/>
                <w:bCs w:val="false"/>
                <w:sz w:val="18"/>
                <w:szCs w:val="18"/>
              </w:rPr>
              <w:t xml:space="preserve">Reconcile: either regenerate the full dataset the README describes, or correct the README to 97 / 30 / 15,644 and the true 2011–2015 date range</w:t>
            </w:r>
          </w:p>
        </w:tc>
        <w:tc>
          <w:tcPr>
            <w:tcW w:type="dxa" w:w="900"/>
            <w:tcMar>
              <w:top w:type="dxa" w:w="70"/>
              <w:left w:type="dxa" w:w="110"/>
              <w:bottom w:type="dxa" w:w="70"/>
              <w:right w:type="dxa" w:w="110"/>
            </w:tcMar>
          </w:tcPr>
          <w:p>
            <w:pPr>
              <w:spacing w:after="0" w:line="250"/>
            </w:pPr>
            <w:r>
              <w:rPr>
                <w:b/>
                <w:bCs/>
                <w:sz w:val="18"/>
                <w:szCs w:val="18"/>
              </w:rPr>
              <w:t xml:space="preserve">S</w:t>
            </w:r>
          </w:p>
        </w:tc>
      </w:tr>
      <w:tr>
        <w:tc>
          <w:tcPr>
            <w:tcW w:type="dxa" w:w="1700"/>
            <w:shd w:fill="FBE9E7" w:color="auto" w:val="clear"/>
            <w:tcMar>
              <w:top w:type="dxa" w:w="70"/>
              <w:left w:type="dxa" w:w="110"/>
              <w:bottom w:type="dxa" w:w="70"/>
              <w:right w:type="dxa" w:w="110"/>
            </w:tcMar>
          </w:tcPr>
          <w:p>
            <w:pPr>
              <w:spacing w:after="0" w:line="250"/>
            </w:pPr>
            <w:r>
              <w:rPr>
                <w:b/>
                <w:bCs/>
                <w:sz w:val="18"/>
                <w:szCs w:val="18"/>
              </w:rPr>
              <w:t xml:space="preserve">P0 — Freshness</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No indication of when predictions were generated</w:t>
            </w:r>
          </w:p>
        </w:tc>
        <w:tc>
          <w:tcPr>
            <w:tcW w:type="dxa" w:w="4540"/>
            <w:shd w:fill="F7F9FB" w:color="auto" w:val="clear"/>
            <w:tcMar>
              <w:top w:type="dxa" w:w="70"/>
              <w:left w:type="dxa" w:w="110"/>
              <w:bottom w:type="dxa" w:w="70"/>
              <w:right w:type="dxa" w:w="110"/>
            </w:tcMar>
          </w:tcPr>
          <w:p>
            <w:pPr>
              <w:spacing w:after="0" w:line="250"/>
            </w:pPr>
            <w:r>
              <w:rPr>
                <w:b w:val="false"/>
                <w:bCs w:val="false"/>
                <w:sz w:val="18"/>
                <w:szCs w:val="18"/>
              </w:rPr>
              <w:t xml:space="preserve">Stamp generation date and source-data hash into the artifacts and display it in the app footer</w:t>
            </w:r>
          </w:p>
        </w:tc>
        <w:tc>
          <w:tcPr>
            <w:tcW w:type="dxa" w:w="900"/>
            <w:shd w:fill="F7F9FB" w:color="auto" w:val="clear"/>
            <w:tcMar>
              <w:top w:type="dxa" w:w="70"/>
              <w:left w:type="dxa" w:w="110"/>
              <w:bottom w:type="dxa" w:w="70"/>
              <w:right w:type="dxa" w:w="110"/>
            </w:tcMar>
          </w:tcPr>
          <w:p>
            <w:pPr>
              <w:spacing w:after="0" w:line="250"/>
            </w:pPr>
            <w:r>
              <w:rPr>
                <w:b/>
                <w:bCs/>
                <w:sz w:val="18"/>
                <w:szCs w:val="18"/>
              </w:rPr>
              <w:t xml:space="preserve">S</w:t>
            </w:r>
          </w:p>
        </w:tc>
      </w:tr>
      <w:tr>
        <w:tc>
          <w:tcPr>
            <w:tcW w:type="dxa" w:w="1700"/>
            <w:shd w:fill="FFF8E1" w:color="auto" w:val="clear"/>
            <w:tcMar>
              <w:top w:type="dxa" w:w="70"/>
              <w:left w:type="dxa" w:w="110"/>
              <w:bottom w:type="dxa" w:w="70"/>
              <w:right w:type="dxa" w:w="110"/>
            </w:tcMar>
          </w:tcPr>
          <w:p>
            <w:pPr>
              <w:spacing w:after="0" w:line="250"/>
            </w:pPr>
            <w:r>
              <w:rPr>
                <w:b/>
                <w:bCs/>
                <w:sz w:val="18"/>
                <w:szCs w:val="18"/>
              </w:rPr>
              <w:t xml:space="preserve">P1 — Retraining</w:t>
            </w:r>
          </w:p>
        </w:tc>
        <w:tc>
          <w:tcPr>
            <w:tcW w:type="dxa" w:w="2700"/>
            <w:tcMar>
              <w:top w:type="dxa" w:w="70"/>
              <w:left w:type="dxa" w:w="110"/>
              <w:bottom w:type="dxa" w:w="70"/>
              <w:right w:type="dxa" w:w="110"/>
            </w:tcMar>
          </w:tcPr>
          <w:p>
            <w:pPr>
              <w:spacing w:after="0" w:line="250"/>
            </w:pPr>
            <w:r>
              <w:rPr>
                <w:b w:val="false"/>
                <w:bCs w:val="false"/>
                <w:sz w:val="18"/>
                <w:szCs w:val="18"/>
              </w:rPr>
              <w:t xml:space="preserve">No retraining pipeline</w:t>
            </w:r>
          </w:p>
        </w:tc>
        <w:tc>
          <w:tcPr>
            <w:tcW w:type="dxa" w:w="4540"/>
            <w:tcMar>
              <w:top w:type="dxa" w:w="70"/>
              <w:left w:type="dxa" w:w="110"/>
              <w:bottom w:type="dxa" w:w="70"/>
              <w:right w:type="dxa" w:w="110"/>
            </w:tcMar>
          </w:tcPr>
          <w:p>
            <w:pPr>
              <w:spacing w:after="0" w:line="250"/>
            </w:pPr>
            <w:r>
              <w:rPr>
                <w:b w:val="false"/>
                <w:bCs w:val="false"/>
                <w:sz w:val="18"/>
                <w:szCs w:val="18"/>
              </w:rPr>
              <w:t xml:space="preserve">Add a Cloud Run Job on a monthly Cloud Scheduler trigger that re-fits AutoARIMA and the LSTM, writes new artifacts to Cloud Storage, and only promotes them if holdout MASE stays below 1.0</w:t>
            </w:r>
          </w:p>
        </w:tc>
        <w:tc>
          <w:tcPr>
            <w:tcW w:type="dxa" w:w="900"/>
            <w:tcMar>
              <w:top w:type="dxa" w:w="70"/>
              <w:left w:type="dxa" w:w="110"/>
              <w:bottom w:type="dxa" w:w="70"/>
              <w:right w:type="dxa" w:w="110"/>
            </w:tcMar>
          </w:tcPr>
          <w:p>
            <w:pPr>
              <w:spacing w:after="0" w:line="250"/>
            </w:pPr>
            <w:r>
              <w:rPr>
                <w:b/>
                <w:bCs/>
                <w:sz w:val="18"/>
                <w:szCs w:val="18"/>
              </w:rPr>
              <w:t xml:space="preserve">M</w:t>
            </w:r>
          </w:p>
        </w:tc>
      </w:tr>
      <w:tr>
        <w:tc>
          <w:tcPr>
            <w:tcW w:type="dxa" w:w="1700"/>
            <w:shd w:fill="FFF8E1" w:color="auto" w:val="clear"/>
            <w:tcMar>
              <w:top w:type="dxa" w:w="70"/>
              <w:left w:type="dxa" w:w="110"/>
              <w:bottom w:type="dxa" w:w="70"/>
              <w:right w:type="dxa" w:w="110"/>
            </w:tcMar>
          </w:tcPr>
          <w:p>
            <w:pPr>
              <w:spacing w:after="0" w:line="250"/>
            </w:pPr>
            <w:r>
              <w:rPr>
                <w:b/>
                <w:bCs/>
                <w:sz w:val="18"/>
                <w:szCs w:val="18"/>
              </w:rPr>
              <w:t xml:space="preserve">P1 — Artifacts</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Model binaries and predictions committed to git</w:t>
            </w:r>
          </w:p>
        </w:tc>
        <w:tc>
          <w:tcPr>
            <w:tcW w:type="dxa" w:w="4540"/>
            <w:shd w:fill="F7F9FB" w:color="auto" w:val="clear"/>
            <w:tcMar>
              <w:top w:type="dxa" w:w="70"/>
              <w:left w:type="dxa" w:w="110"/>
              <w:bottom w:type="dxa" w:w="70"/>
              <w:right w:type="dxa" w:w="110"/>
            </w:tcMar>
          </w:tcPr>
          <w:p>
            <w:pPr>
              <w:spacing w:after="0" w:line="250"/>
            </w:pPr>
            <w:r>
              <w:rPr>
                <w:b w:val="false"/>
                <w:bCs w:val="false"/>
                <w:sz w:val="18"/>
                <w:szCs w:val="18"/>
              </w:rPr>
              <w:t xml:space="preserve">Move to a Cloud Storage bucket with versioned objects; the app reads the current pointer at startup</w:t>
            </w:r>
          </w:p>
        </w:tc>
        <w:tc>
          <w:tcPr>
            <w:tcW w:type="dxa" w:w="900"/>
            <w:shd w:fill="F7F9FB" w:color="auto" w:val="clear"/>
            <w:tcMar>
              <w:top w:type="dxa" w:w="70"/>
              <w:left w:type="dxa" w:w="110"/>
              <w:bottom w:type="dxa" w:w="70"/>
              <w:right w:type="dxa" w:w="110"/>
            </w:tcMar>
          </w:tcPr>
          <w:p>
            <w:pPr>
              <w:spacing w:after="0" w:line="250"/>
            </w:pPr>
            <w:r>
              <w:rPr>
                <w:b/>
                <w:bCs/>
                <w:sz w:val="18"/>
                <w:szCs w:val="18"/>
              </w:rPr>
              <w:t xml:space="preserve">M</w:t>
            </w:r>
          </w:p>
        </w:tc>
      </w:tr>
      <w:tr>
        <w:tc>
          <w:tcPr>
            <w:tcW w:type="dxa" w:w="1700"/>
            <w:shd w:fill="FFF8E1" w:color="auto" w:val="clear"/>
            <w:tcMar>
              <w:top w:type="dxa" w:w="70"/>
              <w:left w:type="dxa" w:w="110"/>
              <w:bottom w:type="dxa" w:w="70"/>
              <w:right w:type="dxa" w:w="110"/>
            </w:tcMar>
          </w:tcPr>
          <w:p>
            <w:pPr>
              <w:spacing w:after="0" w:line="250"/>
            </w:pPr>
            <w:r>
              <w:rPr>
                <w:b/>
                <w:bCs/>
                <w:sz w:val="18"/>
                <w:szCs w:val="18"/>
              </w:rPr>
              <w:t xml:space="preserve">P1 — Accuracy tracking</w:t>
            </w:r>
          </w:p>
        </w:tc>
        <w:tc>
          <w:tcPr>
            <w:tcW w:type="dxa" w:w="2700"/>
            <w:tcMar>
              <w:top w:type="dxa" w:w="70"/>
              <w:left w:type="dxa" w:w="110"/>
              <w:bottom w:type="dxa" w:w="70"/>
              <w:right w:type="dxa" w:w="110"/>
            </w:tcMar>
          </w:tcPr>
          <w:p>
            <w:pPr>
              <w:spacing w:after="0" w:line="250"/>
            </w:pPr>
            <w:r>
              <w:rPr>
                <w:b w:val="false"/>
                <w:bCs w:val="false"/>
                <w:sz w:val="18"/>
                <w:szCs w:val="18"/>
              </w:rPr>
              <w:t xml:space="preserve">Forecast error never measured against realized actuals</w:t>
            </w:r>
          </w:p>
        </w:tc>
        <w:tc>
          <w:tcPr>
            <w:tcW w:type="dxa" w:w="4540"/>
            <w:tcMar>
              <w:top w:type="dxa" w:w="70"/>
              <w:left w:type="dxa" w:w="110"/>
              <w:bottom w:type="dxa" w:w="70"/>
              <w:right w:type="dxa" w:w="110"/>
            </w:tcMar>
          </w:tcPr>
          <w:p>
            <w:pPr>
              <w:spacing w:after="0" w:line="250"/>
            </w:pPr>
            <w:r>
              <w:rPr>
                <w:b w:val="false"/>
                <w:bCs w:val="false"/>
                <w:sz w:val="18"/>
                <w:szCs w:val="18"/>
              </w:rPr>
              <w:t xml:space="preserve">Log each forecast with its target period, then compute realized MASE as actuals arrive and chart it in the dashboard</w:t>
            </w:r>
          </w:p>
        </w:tc>
        <w:tc>
          <w:tcPr>
            <w:tcW w:type="dxa" w:w="900"/>
            <w:tcMar>
              <w:top w:type="dxa" w:w="70"/>
              <w:left w:type="dxa" w:w="110"/>
              <w:bottom w:type="dxa" w:w="70"/>
              <w:right w:type="dxa" w:w="110"/>
            </w:tcMar>
          </w:tcPr>
          <w:p>
            <w:pPr>
              <w:spacing w:after="0" w:line="250"/>
            </w:pPr>
            <w:r>
              <w:rPr>
                <w:b/>
                <w:bCs/>
                <w:sz w:val="18"/>
                <w:szCs w:val="18"/>
              </w:rPr>
              <w:t xml:space="preserve">M</w:t>
            </w:r>
          </w:p>
        </w:tc>
      </w:tr>
      <w:tr>
        <w:tc>
          <w:tcPr>
            <w:tcW w:type="dxa" w:w="1700"/>
            <w:shd w:fill="F1F8E9" w:color="auto" w:val="clear"/>
            <w:tcMar>
              <w:top w:type="dxa" w:w="70"/>
              <w:left w:type="dxa" w:w="110"/>
              <w:bottom w:type="dxa" w:w="70"/>
              <w:right w:type="dxa" w:w="110"/>
            </w:tcMar>
          </w:tcPr>
          <w:p>
            <w:pPr>
              <w:spacing w:after="0" w:line="250"/>
            </w:pPr>
            <w:r>
              <w:rPr>
                <w:b/>
                <w:bCs/>
                <w:sz w:val="18"/>
                <w:szCs w:val="18"/>
              </w:rPr>
              <w:t xml:space="preserve">P2 — Uncertainty</w:t>
            </w:r>
          </w:p>
        </w:tc>
        <w:tc>
          <w:tcPr>
            <w:tcW w:type="dxa" w:w="2700"/>
            <w:shd w:fill="F7F9FB" w:color="auto" w:val="clear"/>
            <w:tcMar>
              <w:top w:type="dxa" w:w="70"/>
              <w:left w:type="dxa" w:w="110"/>
              <w:bottom w:type="dxa" w:w="70"/>
              <w:right w:type="dxa" w:w="110"/>
            </w:tcMar>
          </w:tcPr>
          <w:p>
            <w:pPr>
              <w:spacing w:after="0" w:line="250"/>
            </w:pPr>
            <w:r>
              <w:rPr>
                <w:b w:val="false"/>
                <w:bCs w:val="false"/>
                <w:sz w:val="18"/>
                <w:szCs w:val="18"/>
              </w:rPr>
              <w:t xml:space="preserve">LSTM produces no prediction intervals</w:t>
            </w:r>
          </w:p>
        </w:tc>
        <w:tc>
          <w:tcPr>
            <w:tcW w:type="dxa" w:w="4540"/>
            <w:shd w:fill="F7F9FB" w:color="auto" w:val="clear"/>
            <w:tcMar>
              <w:top w:type="dxa" w:w="70"/>
              <w:left w:type="dxa" w:w="110"/>
              <w:bottom w:type="dxa" w:w="70"/>
              <w:right w:type="dxa" w:w="110"/>
            </w:tcMar>
          </w:tcPr>
          <w:p>
            <w:pPr>
              <w:spacing w:after="0" w:line="250"/>
            </w:pPr>
            <w:r>
              <w:rPr>
                <w:b w:val="false"/>
                <w:bCs w:val="false"/>
                <w:sz w:val="18"/>
                <w:szCs w:val="18"/>
              </w:rPr>
              <w:t xml:space="preserve">Add quantile regression or Monte Carlo dropout so both models express uncertainty in the same units</w:t>
            </w:r>
          </w:p>
        </w:tc>
        <w:tc>
          <w:tcPr>
            <w:tcW w:type="dxa" w:w="900"/>
            <w:shd w:fill="F7F9FB" w:color="auto" w:val="clear"/>
            <w:tcMar>
              <w:top w:type="dxa" w:w="70"/>
              <w:left w:type="dxa" w:w="110"/>
              <w:bottom w:type="dxa" w:w="70"/>
              <w:right w:type="dxa" w:w="110"/>
            </w:tcMar>
          </w:tcPr>
          <w:p>
            <w:pPr>
              <w:spacing w:after="0" w:line="250"/>
            </w:pPr>
            <w:r>
              <w:rPr>
                <w:b/>
                <w:bCs/>
                <w:sz w:val="18"/>
                <w:szCs w:val="18"/>
              </w:rPr>
              <w:t xml:space="preserve">M</w:t>
            </w:r>
          </w:p>
        </w:tc>
      </w:tr>
      <w:tr>
        <w:tc>
          <w:tcPr>
            <w:tcW w:type="dxa" w:w="1700"/>
            <w:shd w:fill="F1F8E9" w:color="auto" w:val="clear"/>
            <w:tcMar>
              <w:top w:type="dxa" w:w="70"/>
              <w:left w:type="dxa" w:w="110"/>
              <w:bottom w:type="dxa" w:w="70"/>
              <w:right w:type="dxa" w:w="110"/>
            </w:tcMar>
          </w:tcPr>
          <w:p>
            <w:pPr>
              <w:spacing w:after="0" w:line="250"/>
            </w:pPr>
            <w:r>
              <w:rPr>
                <w:b/>
                <w:bCs/>
                <w:sz w:val="18"/>
                <w:szCs w:val="18"/>
              </w:rPr>
              <w:t xml:space="preserve">P2 — Operations</w:t>
            </w:r>
          </w:p>
        </w:tc>
        <w:tc>
          <w:tcPr>
            <w:tcW w:type="dxa" w:w="2700"/>
            <w:tcMar>
              <w:top w:type="dxa" w:w="70"/>
              <w:left w:type="dxa" w:w="110"/>
              <w:bottom w:type="dxa" w:w="70"/>
              <w:right w:type="dxa" w:w="110"/>
            </w:tcMar>
          </w:tcPr>
          <w:p>
            <w:pPr>
              <w:spacing w:after="0" w:line="250"/>
            </w:pPr>
            <w:r>
              <w:rPr>
                <w:b w:val="false"/>
                <w:bCs w:val="false"/>
                <w:sz w:val="18"/>
                <w:szCs w:val="18"/>
              </w:rPr>
              <w:t xml:space="preserve">No availability target</w:t>
            </w:r>
          </w:p>
        </w:tc>
        <w:tc>
          <w:tcPr>
            <w:tcW w:type="dxa" w:w="4540"/>
            <w:tcMar>
              <w:top w:type="dxa" w:w="70"/>
              <w:left w:type="dxa" w:w="110"/>
              <w:bottom w:type="dxa" w:w="70"/>
              <w:right w:type="dxa" w:w="110"/>
            </w:tcMar>
          </w:tcPr>
          <w:p>
            <w:pPr>
              <w:spacing w:after="0" w:line="250"/>
            </w:pPr>
            <w:r>
              <w:rPr>
                <w:b w:val="false"/>
                <w:bCs w:val="false"/>
                <w:sz w:val="18"/>
                <w:szCs w:val="18"/>
              </w:rPr>
              <w:t xml:space="preserve">Define an SLO (e.g. 99% of dashboard loads under 3s) and enable Cloud Run alerting against it; consider min-instances=1 if cold starts breach it</w:t>
            </w:r>
          </w:p>
        </w:tc>
        <w:tc>
          <w:tcPr>
            <w:tcW w:type="dxa" w:w="900"/>
            <w:tcMar>
              <w:top w:type="dxa" w:w="70"/>
              <w:left w:type="dxa" w:w="110"/>
              <w:bottom w:type="dxa" w:w="70"/>
              <w:right w:type="dxa" w:w="110"/>
            </w:tcMar>
          </w:tcPr>
          <w:p>
            <w:pPr>
              <w:spacing w:after="0" w:line="250"/>
            </w:pPr>
            <w:r>
              <w:rPr>
                <w:b/>
                <w:bCs/>
                <w:sz w:val="18"/>
                <w:szCs w:val="18"/>
              </w:rPr>
              <w:t xml:space="preserve">S</w:t>
            </w:r>
          </w:p>
        </w:tc>
      </w:tr>
    </w:tbl>
    <w:p>
      <w:pPr>
        <w:pStyle w:val="Heading1"/>
      </w:pPr>
      <w:r>
        <w:t xml:space="preserve">11. Open Questions</w:t>
      </w:r>
    </w:p>
    <w:p>
      <w:pPr>
        <w:pStyle w:val="ListParagraph"/>
        <w:numPr>
          <w:ilvl w:val="0"/>
          <w:numId w:val="2"/>
        </w:numPr>
        <w:spacing w:after="100"/>
      </w:pPr>
      <w:r>
        <w:t xml:space="preserve">Does the LSTM's accuracy edge survive retraining on fresh data, or is 0.703 vs 0.778 within run-to-run noise for this sample size?</w:t>
      </w:r>
    </w:p>
    <w:p>
      <w:pPr>
        <w:pStyle w:val="ListParagraph"/>
        <w:numPr>
          <w:ilvl w:val="0"/>
          <w:numId w:val="2"/>
        </w:numPr>
        <w:spacing w:after="100"/>
      </w:pPr>
      <w:r>
        <w:t xml:space="preserve">Is per-shop forecasting the right grain, or would hierarchical reconciliation across grains produce more coherent totals?</w:t>
      </w:r>
    </w:p>
    <w:p>
      <w:pPr>
        <w:pStyle w:val="ListParagraph"/>
        <w:numPr>
          <w:ilvl w:val="0"/>
          <w:numId w:val="2"/>
        </w:numPr>
        <w:spacing w:after="100"/>
      </w:pPr>
      <w:r>
        <w:t xml:space="preserve">At 30 series and 15,644 orderlines, is a neural model justified at all versus a well-tuned statistical ensemble?</w:t>
      </w:r>
    </w:p>
    <w:p>
      <w:pPr>
        <w:pStyle w:val="Heading1"/>
      </w:pPr>
      <w:r>
        <w:t xml:space="preserve">12. References</w:t>
      </w:r>
    </w:p>
    <w:p>
      <w:pPr>
        <w:pStyle w:val="ListParagraph"/>
        <w:numPr>
          <w:ilvl w:val="0"/>
          <w:numId w:val="2"/>
        </w:numPr>
        <w:spacing w:after="100"/>
      </w:pPr>
      <w:r>
        <w:t xml:space="preserve">model_cards/model_card.docx — metrics and limitations</w:t>
      </w:r>
    </w:p>
    <w:p>
      <w:pPr>
        <w:pStyle w:val="ListParagraph"/>
        <w:numPr>
          <w:ilvl w:val="0"/>
          <w:numId w:val="2"/>
        </w:numPr>
        <w:spacing w:after="100"/>
      </w:pPr>
      <w:r>
        <w:t xml:space="preserve">data_cards/data_card.docx — provenance, schema, the count discrepancy</w:t>
      </w:r>
    </w:p>
    <w:p>
      <w:pPr>
        <w:pStyle w:val="ListParagraph"/>
        <w:numPr>
          <w:ilvl w:val="0"/>
          <w:numId w:val="2"/>
        </w:numPr>
        <w:spacing w:after="100"/>
      </w:pPr>
      <w:r>
        <w:t xml:space="preserve">README.md · cloudbuild.yaml · deploy.sh · Dockerfile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95959"/>
        <w:sz w:val="16"/>
        <w:szCs w:val="16"/>
      </w:rPr>
      <w:t xml:space="preserve">Bikeshop Revenue Forecasting — ML Design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3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00"/>
    </w:pPr>
    <w:rPr>
      <w:b/>
      <w:bCs/>
      <w:color w:val="1F4E79"/>
      <w:sz w:val="48"/>
      <w:szCs w:val="48"/>
    </w:rPr>
  </w:style>
  <w:style w:type="paragraph" w:styleId="Heading1">
    <w:name w:val="Heading 1"/>
    <w:basedOn w:val="Normal"/>
    <w:next w:val="Normal"/>
    <w:qFormat/>
    <w:pPr>
      <w:pBdr>
        <w:bottom w:val="single" w:color="D0D7DE" w:sz="8" w:space="6"/>
      </w:pBdr>
      <w:spacing w:after="150" w:before="380"/>
    </w:pPr>
    <w:rPr>
      <w:b/>
      <w:bCs/>
      <w:color w:val="1F4E79"/>
      <w:sz w:val="30"/>
      <w:szCs w:val="30"/>
    </w:rPr>
  </w:style>
  <w:style w:type="paragraph" w:styleId="Heading2">
    <w:name w:val="Heading 2"/>
    <w:basedOn w:val="Normal"/>
    <w:next w:val="Normal"/>
    <w:qFormat/>
    <w:pPr>
      <w:spacing w:after="100" w:before="240"/>
    </w:pPr>
    <w:rPr>
      <w:b/>
      <w:bCs/>
      <w:color w:val="2F5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2026-08-02T02:06:27.551Z</dcterms:created>
  <dcterms:modified xsi:type="dcterms:W3CDTF">2026-08-02T02:06:27.551Z</dcterms:modified>
</cp:coreProperties>
</file>

<file path=docProps/custom.xml><?xml version="1.0" encoding="utf-8"?>
<Properties xmlns="http://schemas.openxmlformats.org/officeDocument/2006/custom-properties" xmlns:vt="http://schemas.openxmlformats.org/officeDocument/2006/docPropsVTypes"/>
</file>