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Model Card</w:t>
      </w:r>
    </w:p>
    <w:p>
      <w:pPr>
        <w:spacing w:after="60"/>
      </w:pPr>
      <w:r>
        <w:rPr>
          <w:b/>
          <w:bCs/>
          <w:sz w:val="26"/>
          <w:szCs w:val="26"/>
        </w:rPr>
        <w:t xml:space="preserve">Bikes Sales Forecast — AutoARIMA and TensorFlow LSTM</w:t>
      </w:r>
    </w:p>
    <w:p>
      <w:pPr>
        <w:pBdr>
          <w:bottom w:val="single" w:color="1F4E79" w:sz="8" w:space="8"/>
        </w:pBdr>
        <w:spacing w:after="300"/>
      </w:pPr>
      <w:r>
        <w:rPr>
          <w:color w:val="595959"/>
          <w:sz w:val="19"/>
          <w:szCs w:val="19"/>
        </w:rPr>
        <w:t xml:space="preserve">Repository: Bikes_forecast   ·   Version 1.0.0   ·   MIT</w:t>
      </w:r>
    </w:p>
    <w:p>
      <w:pPr>
        <w:pStyle w:val="Heading1"/>
      </w:pPr>
      <w:r>
        <w:t xml:space="preserve">Model Details</w:t>
      </w:r>
    </w:p>
    <w:p>
      <w:pPr>
        <w:pStyle w:val="Heading2"/>
      </w:pPr>
      <w:r>
        <w:t xml:space="preserve">Overview</w:t>
      </w:r>
    </w:p>
    <w:p>
      <w:r>
        <w:t xml:space="preserve">Forecasts Q1 2025 revenue for a fictitious bicycle manufacturer distributing to 30 bikeshops, using AutoARIMA (univariate, per series) and a multivariate TensorFlow LSTM trained jointly across all shops. Built on 109,514 orderlines spanning 2020-2024 in SQLite, surfaced through a Streamlit dashboard on Google Cloud Run. Both models are scored against a naive last-value baseline on a true 3-month holdout.</w:t>
      </w:r>
    </w:p>
    <w:p>
      <w:pPr>
        <w:pStyle w:val="Heading2"/>
      </w:pPr>
      <w:r>
        <w:t xml:space="preserve">Owners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Ella Ndalla — ndallaella@gmail.com</w:t>
      </w:r>
    </w:p>
    <w:p>
      <w:pPr>
        <w:pStyle w:val="Heading2"/>
      </w:pPr>
      <w:r>
        <w:t xml:space="preserve">Data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Dataset: Synthetic bikeshop sales database (Bikes, Bikeshops, Orderlines; 2020-2024) — Sensitive data: Fully synthetic. No real customers, shops, or transactions; no PII.</w:t>
      </w:r>
    </w:p>
    <w:p>
      <w:pPr>
        <w:pStyle w:val="Heading2"/>
      </w:pPr>
      <w:r>
        <w:t xml:space="preserve">References</w:t>
      </w:r>
    </w:p>
    <w:p>
      <w:pPr>
        <w:pStyle w:val="ListParagraph"/>
        <w:numPr>
          <w:ilvl w:val="0"/>
          <w:numId w:val="2"/>
        </w:numPr>
        <w:spacing w:after="80"/>
      </w:pPr>
      <w:hyperlink w:history="1" r:id="rIdchkwmogmycssqpbg-lpnz">
        <w:r>
          <w:rPr>
            <w:rStyle w:val="Hyperlink"/>
            <w:color w:val="0563C1"/>
            <w:u w:val="single"/>
          </w:rPr>
          <w:t xml:space="preserve">https://bikes-forecast-6trxjbynbq-uc.a.run.app</w:t>
        </w:r>
      </w:hyperlink>
    </w:p>
    <w:p>
      <w:pPr>
        <w:pStyle w:val="Heading1"/>
      </w:pPr>
      <w:r>
        <w:t xml:space="preserve">Considerations</w:t>
      </w:r>
    </w:p>
    <w:p>
      <w:pPr>
        <w:pStyle w:val="Heading2"/>
      </w:pPr>
      <w:r>
        <w:t xml:space="preserve">Intended Users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Sales and demand planning stakeholders (illustrative)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Data scientists reviewing time-series forecasting practice</w:t>
      </w:r>
    </w:p>
    <w:p>
      <w:pPr>
        <w:pStyle w:val="Heading2"/>
      </w:pPr>
      <w:r>
        <w:t xml:space="preserve">Use Cases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Monthly revenue forecasting at bikeshop, category, and sub-category level.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Demonstration of MASE-based evaluation against a naive baseline for sparse retail series.</w:t>
      </w:r>
    </w:p>
    <w:p>
      <w:pPr>
        <w:pStyle w:val="Heading2"/>
      </w:pPr>
      <w:r>
        <w:t xml:space="preserve">Limitations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Trained on synthetic data; absolute error figures carry no real-world meaning.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LSTM predictions are pre-computed and committed to 03_outputs/ — the deployed app does not retrain and TensorFlow is not a runtime dependency, so forecasts are static until the training pipeline is re-run.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MAPE is unusable on this dataset: near-zero bikeshop months produce percentage errors in the quadrillions. MASE is the only reliable headline metric here.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3-month look-back window and 30-epoch training cap limit the LSTM's ability to capture longer seasonal cycles.</w:t>
      </w:r>
    </w:p>
    <w:p>
      <w:pPr>
        <w:pStyle w:val="Heading2"/>
      </w:pPr>
      <w:r>
        <w:t xml:space="preserve">Tradeoffs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LSTM wins on accuracy (MASE 0.703 vs 0.778) but requires GPU-class retraining and produces no confidence intervals; AutoARIMA is slower per-series but interpretable, CPU-friendly, and yields 95% prediction intervals.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Joint multivariate training shares signal across shops but couples all 30 series to a single model artifact.</w:t>
      </w:r>
    </w:p>
    <w:p>
      <w:pPr>
        <w:pStyle w:val="Heading2"/>
      </w:pPr>
      <w:r>
        <w:t xml:space="preserve">Ethical Considerations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 w:val="false"/>
          <w:bCs w:val="false"/>
        </w:rPr>
        <w:t xml:space="preserve">Over-trusting point forecasts for inventory or staffing decisions when the LSTM provides no uncertainty bounds.</w:t>
      </w:r>
      <w:r>
        <w:rPr>
          <w:b/>
          <w:bCs/>
          <w:color w:val="1F4E79"/>
        </w:rPr>
        <w:br/>
        <w:t xml:space="preserve">  Mitigation: </w:t>
      </w:r>
      <w:r>
        <w:t xml:space="preserve">AutoARIMA 95% prediction intervals are surfaced alongside LSTM point forecasts in the dashboard; MASE vs naive is shown so users can see how much the model actually beats a trivial baseline.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 w:val="false"/>
          <w:bCs w:val="false"/>
        </w:rPr>
        <w:t xml:space="preserve">Silent staleness — committed predictions continue to serve after the underlying sales pattern changes.</w:t>
      </w:r>
      <w:r>
        <w:rPr>
          <w:b/>
          <w:bCs/>
          <w:color w:val="1F4E79"/>
        </w:rPr>
        <w:br/>
        <w:t xml:space="preserve">  Mitigation: </w:t>
      </w:r>
      <w:r>
        <w:t xml:space="preserve">Holdout evaluation scripts (evaluate_arima_holdout, compare_arima_lstm) are re-runnable to re-score before each refresh.</w:t>
      </w:r>
    </w:p>
    <w:p>
      <w:pPr>
        <w:pStyle w:val="Heading1"/>
      </w:pPr>
      <w:r>
        <w:t xml:space="preserve">Quantitative Analysis</w:t>
      </w:r>
    </w:p>
    <w:tbl>
      <w:tblPr>
        <w:tblW w:type="dxa" w:w="9360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single" w:color="D0D7DE" w:sz="2"/>
          <w:insideV w:val="single" w:color="D0D7DE" w:sz="2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MASE (LSTM, mean over 30 bikeshops)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0.703</w:t>
            </w:r>
          </w:p>
        </w:tc>
      </w:tr>
      <w:tr>
        <w:tc>
          <w:tcPr>
            <w:tcW w:type="dxa" w:w="4680"/>
            <w:shd w:fill="F7F9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MASE (AutoARIMA)</w:t>
            </w:r>
          </w:p>
        </w:tc>
        <w:tc>
          <w:tcPr>
            <w:tcW w:type="dxa" w:w="4680"/>
            <w:shd w:fill="F7F9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0.778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MASE (Naive baseline)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1.000</w:t>
            </w:r>
          </w:p>
        </w:tc>
      </w:tr>
      <w:tr>
        <w:tc>
          <w:tcPr>
            <w:tcW w:type="dxa" w:w="4680"/>
            <w:shd w:fill="F7F9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MAE (LSTM)</w:t>
            </w:r>
          </w:p>
        </w:tc>
        <w:tc>
          <w:tcPr>
            <w:tcW w:type="dxa" w:w="4680"/>
            <w:shd w:fill="F7F9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$31,981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MAE (AutoARIMA)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$34,688</w:t>
            </w:r>
          </w:p>
        </w:tc>
      </w:tr>
      <w:tr>
        <w:tc>
          <w:tcPr>
            <w:tcW w:type="dxa" w:w="4680"/>
            <w:shd w:fill="F7F9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MAE (Naive)</w:t>
            </w:r>
          </w:p>
        </w:tc>
        <w:tc>
          <w:tcPr>
            <w:tcW w:type="dxa" w:w="4680"/>
            <w:shd w:fill="F7F9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$26,612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RMSE (LSTM)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$38,165</w:t>
            </w:r>
          </w:p>
        </w:tc>
      </w:tr>
      <w:tr>
        <w:tc>
          <w:tcPr>
            <w:tcW w:type="dxa" w:w="4680"/>
            <w:shd w:fill="F7F9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RMSE (AutoARIMA)</w:t>
            </w:r>
          </w:p>
        </w:tc>
        <w:tc>
          <w:tcPr>
            <w:tcW w:type="dxa" w:w="4680"/>
            <w:shd w:fill="F7F9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$39,689</w:t>
            </w:r>
          </w:p>
        </w:tc>
      </w:tr>
    </w:tbl>
    <w:p>
      <w:pPr>
        <w:pStyle w:val="Heading1"/>
      </w:pPr>
      <w:r>
        <w:t xml:space="preserve">Citation</w:t>
      </w:r>
    </w:p>
    <w:p>
      <w:r>
        <w:rPr>
          <w:i/>
          <w:iCs/>
        </w:rPr>
        <w:t xml:space="preserve">Ella Ndalla. Bikes Sales Forecast — AutoARIMA and TensorFlow LSTM. GitHub repository: Bikes_forecast.</w:t>
      </w:r>
    </w:p>
    <w:p>
      <w:pPr>
        <w:pBdr>
          <w:top w:val="single" w:color="D0D7DE" w:sz="4" w:space="8"/>
        </w:pBdr>
        <w:spacing w:before="400"/>
      </w:pPr>
      <w:r>
        <w:rPr>
          <w:i/>
          <w:iCs/>
          <w:color w:val="595959"/>
          <w:sz w:val="17"/>
          <w:szCs w:val="17"/>
        </w:rPr>
        <w:t xml:space="preserve">Generated with the TensorFlow Model Card Toolkit (v2.0.0) from Bikes_forecast/model_cards/data/model_card.json.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80"/>
    </w:pPr>
    <w:rPr>
      <w:b/>
      <w:bCs/>
      <w:color w:val="1F4E79"/>
      <w:sz w:val="40"/>
      <w:szCs w:val="40"/>
    </w:rPr>
  </w:style>
  <w:style w:type="paragraph" w:styleId="Heading1">
    <w:name w:val="Heading 1"/>
    <w:basedOn w:val="Normal"/>
    <w:next w:val="Normal"/>
    <w:qFormat/>
    <w:pPr>
      <w:pBdr>
        <w:bottom w:val="single" w:color="D0D7DE" w:sz="6" w:space="6"/>
      </w:pBdr>
      <w:spacing w:after="140" w:before="360"/>
    </w:pPr>
    <w:rPr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</w:pPr>
    <w:rPr>
      <w:b/>
      <w:bCs/>
      <w:color w:val="2F5F8F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chkwmogmycssqpbg-lpnz" Type="http://schemas.openxmlformats.org/officeDocument/2006/relationships/hyperlink" Target="https://bikes-forecast-6trxjbynbq-uc.a.run.app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2026-08-01T21:57:08.089Z</dcterms:created>
  <dcterms:modified xsi:type="dcterms:W3CDTF">2026-08-01T21:57:08.089Z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