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Card</w:t>
      </w:r>
    </w:p>
    <w:p>
      <w:pPr>
        <w:spacing w:after="60"/>
      </w:pPr>
      <w:r>
        <w:rPr>
          <w:b/>
          <w:bCs/>
          <w:sz w:val="26"/>
          <w:szCs w:val="26"/>
        </w:rPr>
        <w:t xml:space="preserve">Restaurant &amp; Consumer Ratings (Merged Analysis Table)</w:t>
      </w:r>
    </w:p>
    <w:p>
      <w:pPr>
        <w:pBdr>
          <w:bottom w:val="single" w:color="1F4E79" w:sz="8" w:space="8"/>
        </w:pBdr>
        <w:spacing w:after="260"/>
      </w:pPr>
      <w:r>
        <w:rPr>
          <w:color w:val="595959"/>
          <w:sz w:val="19"/>
          <w:szCs w:val="19"/>
        </w:rPr>
        <w:t xml:space="preserve">Repository: Causal_inference-Case_study   ·   Ella Ndalla, ndallaella@gmail.com</w:t>
      </w:r>
    </w:p>
    <w:p>
      <w:r>
        <w:t xml:space="preserve">Nine relational files from the UCI Restaurant &amp; Consumer Data collection — user profiles, payment methods, cuisine preferences, ratings, and restaurant attributes — merged into a single analysis table for causal attribution of restaurant ratings.</w:t>
      </w:r>
    </w:p>
    <w:p>
      <w:pPr>
        <w:pStyle w:val="Heading1"/>
      </w:pPr>
      <w:r>
        <w:t xml:space="preserve">Provenance</w:t>
      </w:r>
    </w:p>
    <w:p>
      <w:pPr>
        <w:pStyle w:val="ListParagraph"/>
        <w:numPr>
          <w:ilvl w:val="0"/>
          <w:numId w:val="2"/>
        </w:numPr>
        <w:spacing w:after="100"/>
      </w:pPr>
      <w:r>
        <w:t xml:space="preserve">Source: UC Irvine Machine Learning Repository — Restaurant &amp; Consumer Data</w:t>
      </w:r>
    </w:p>
    <w:p>
      <w:pPr>
        <w:pStyle w:val="ListParagraph"/>
        <w:numPr>
          <w:ilvl w:val="0"/>
          <w:numId w:val="2"/>
        </w:numPr>
        <w:spacing w:after="100"/>
      </w:pPr>
      <w:r>
        <w:t xml:space="preserve">Link: </w:t>
      </w:r>
      <w:hyperlink w:history="1" r:id="rIdyrhhlauxyern8vht6cuid">
        <w:r>
          <w:rPr>
            <w:color w:val="0563C1"/>
            <w:u w:val="single"/>
          </w:rPr>
          <w:t xml:space="preserve">https://archive.ics.uci.edu/dataset/232/restaurant+consumer+data</w:t>
        </w:r>
      </w:hyperlink>
    </w:p>
    <w:p>
      <w:pPr>
        <w:pStyle w:val="ListParagraph"/>
        <w:numPr>
          <w:ilvl w:val="0"/>
          <w:numId w:val="2"/>
        </w:numPr>
        <w:spacing w:after="100"/>
      </w:pPr>
      <w:r>
        <w:t xml:space="preserve">Snapshot: 2012 UCI release (data collected in Mexico)</w:t>
      </w:r>
    </w:p>
    <w:p>
      <w:pPr>
        <w:pStyle w:val="ListParagraph"/>
        <w:numPr>
          <w:ilvl w:val="0"/>
          <w:numId w:val="2"/>
        </w:numPr>
        <w:spacing w:after="100"/>
      </w:pPr>
      <w:r>
        <w:t xml:space="preserve">License / terms: Creative Commons Attribution 4.0 International (CC BY 4.0) per UCI ML Repository terms. Citation of the original donors is required.</w:t>
      </w:r>
    </w:p>
    <w:p>
      <w:pPr>
        <w:pStyle w:val="Heading2"/>
      </w:pPr>
      <w:r>
        <w:t xml:space="preserve">Collection</w:t>
      </w:r>
    </w:p>
    <w:p>
      <w:r>
        <w:t xml:space="preserve">Collected via a recommender-system study of restaurant consumers in Mexico. Users self-reported profile attributes (including personality, interest, and color preference items) and rated restaurants they had visited. This is a convenience sample of study participants, not a representative population sample — a limitation that carries directly into every effect estimate.</w:t>
      </w:r>
    </w:p>
    <w:p>
      <w:pPr>
        <w:pStyle w:val="Heading2"/>
      </w:pPr>
      <w:r>
        <w:t xml:space="preserve">Maintenance</w:t>
      </w:r>
    </w:p>
    <w:p>
      <w:r>
        <w:t xml:space="preserve">Static UCI archival dataset; no updates since deposit. final_data.pkl is regenerated by re-running get_initial_data() in 01_Data_Analysis/data_pipeline.py.</w:t>
      </w:r>
    </w:p>
    <w:p>
      <w:pPr>
        <w:pStyle w:val="Heading1"/>
      </w:pPr>
      <w:r>
        <w:t xml:space="preserve">Construction</w:t>
      </w:r>
    </w:p>
    <w:p>
      <w:pPr>
        <w:pStyle w:val="Heading2"/>
      </w:pPr>
      <w:r>
        <w:t xml:space="preserve">Labeling</w:t>
      </w:r>
    </w:p>
    <w:p>
      <w:r>
        <w:t xml:space="preserve">The outcome rating and the mediators food_rating and service_rating are self-reported ordinal scores given by users, not expert annotations. Self-report introduces common-method bias: the same person supplies both treatment and outcome measures in a single sitting.</w:t>
      </w:r>
    </w:p>
    <w:p>
      <w:pPr>
        <w:pStyle w:val="Heading2"/>
      </w:pPr>
      <w:r>
        <w:t xml:space="preserve">Preprocessing</w:t>
      </w:r>
    </w:p>
    <w:p>
      <w:r>
        <w:t xml:space="preserve">Nine CSVs merged with pandas left joins (user chain: userprofile -&gt; userpayment -&gt; usercuisine -&gt; rating_final; restaurant chain: geoplaces2 -&gt; chefmozaccepts -&gt; chefmozparking -&gt; chefmozcuisine -&gt; chefmozhours4; combined on placeID) producing 31,559 rows x 52 features. Engineered: geodesic patron-restaurant distance (Haversine), KMeans location clusters (k=5), age groups from birth year, Jaccard cuisine-match score, and business-hours categories. '?' markers replaced with NaN, then most-frequent imputation across 17 categorical columns, then label encoding.</w:t>
      </w:r>
    </w:p>
    <w:p>
      <w:pPr>
        <w:pStyle w:val="Heading2"/>
      </w:pPr>
      <w:r>
        <w:t xml:space="preserve">Splits</w:t>
      </w:r>
    </w:p>
    <w:p>
      <w:r>
        <w:t xml:space="preserve">No train/test split — this is estimation, not prediction. Identification comes from DoWhy backdoor adjustment on the assumed graph, with propensity-score / IPW weighting for the heterogeneous treatment effect analysis.</w:t>
      </w:r>
    </w:p>
    <w:p>
      <w:pPr>
        <w:pStyle w:val="Heading1"/>
      </w:pPr>
      <w:r>
        <w:t xml:space="preserve">Sensitive &amp; Personal Data</w:t>
      </w:r>
    </w:p>
    <w:p>
      <w:r>
        <w:t xml:space="preserve">Person-level attributes are used directly as treatment variables: whether the user has children (hijos), height, personality type, interest category, and color preference. Birth year is present and binned into age groups. These are individual characteristics of study participants, and several have no plausible causal mechanism on restaurant ratings — treating them as levers would be both statistically and ethically unsound.</w:t>
      </w:r>
    </w:p>
    <w:p>
      <w:pPr>
        <w:pStyle w:val="Heading1"/>
      </w:pPr>
      <w:r>
        <w:t xml:space="preserve">Intended Use</w:t>
      </w:r>
    </w:p>
    <w:p>
      <w:pPr>
        <w:pStyle w:val="Heading2"/>
      </w:pPr>
      <w:r>
        <w:t xml:space="preserve">Recommended</w:t>
      </w:r>
    </w:p>
    <w:p>
      <w:pPr>
        <w:pStyle w:val="ListParagraph"/>
        <w:numPr>
          <w:ilvl w:val="0"/>
          <w:numId w:val="2"/>
        </w:numPr>
        <w:spacing w:after="100"/>
      </w:pPr>
      <w:r>
        <w:t xml:space="preserve">Teaching causal graph construction, backdoor identification, mediation, and HTE.</w:t>
      </w:r>
    </w:p>
    <w:p>
      <w:pPr>
        <w:pStyle w:val="ListParagraph"/>
        <w:numPr>
          <w:ilvl w:val="0"/>
          <w:numId w:val="2"/>
        </w:numPr>
        <w:spacing w:after="100"/>
      </w:pPr>
      <w:r>
        <w:t xml:space="preserve">Illustrating how graph-informed estimates diverge from naive correlations.</w:t>
      </w:r>
    </w:p>
    <w:p>
      <w:pPr>
        <w:pStyle w:val="Heading2"/>
      </w:pPr>
      <w:r>
        <w:t xml:space="preserve">Discouraged</w:t>
      </w:r>
    </w:p>
    <w:p>
      <w:pPr>
        <w:pStyle w:val="ListParagraph"/>
        <w:numPr>
          <w:ilvl w:val="0"/>
          <w:numId w:val="2"/>
        </w:numPr>
        <w:spacing w:after="100"/>
      </w:pPr>
      <w:r>
        <w:t xml:space="preserve">Any inference about restaurant operations outside this participant pool.</w:t>
      </w:r>
    </w:p>
    <w:p>
      <w:pPr>
        <w:pStyle w:val="ListParagraph"/>
        <w:numPr>
          <w:ilvl w:val="0"/>
          <w:numId w:val="2"/>
        </w:numPr>
        <w:spacing w:after="100"/>
      </w:pPr>
      <w:r>
        <w:t xml:space="preserve">Interpreting demographic 'treatment' effects (height, personality, color) as real — they are better read as diagnostics of residual confounding.</w:t>
      </w:r>
    </w:p>
    <w:p>
      <w:pPr>
        <w:pStyle w:val="Heading1"/>
      </w:pPr>
      <w:r>
        <w:t xml:space="preserve">Known Issues, Skews &amp; Gaps</w:t>
      </w:r>
    </w:p>
    <w:p>
      <w:pPr>
        <w:pStyle w:val="ListParagraph"/>
        <w:numPr>
          <w:ilvl w:val="0"/>
          <w:numId w:val="2"/>
        </w:numPr>
        <w:spacing w:after="100"/>
      </w:pPr>
      <w:r>
        <w:t xml:space="preserve">Zero missing values remain across all 52 columns — because imputation has already been applied. The true pre-imputation missingness is not recoverable from this artifact, so downstream analysis cannot distinguish imputed from observed values.</w:t>
      </w:r>
    </w:p>
    <w:p>
      <w:pPr>
        <w:pStyle w:val="ListParagraph"/>
        <w:numPr>
          <w:ilvl w:val="0"/>
          <w:numId w:val="2"/>
        </w:numPr>
        <w:spacing w:after="100"/>
      </w:pPr>
      <w:r>
        <w:t xml:space="preserve">The left-join fan-out inflates row count well beyond the number of distinct ratings: 31,559 rows represent far fewer unique user-restaurant pairs, so each rating is counted multiple times. Unweighted regressions over this table implicitly weight users and restaurants by how many payment methods and cuisines they list.</w:t>
      </w:r>
    </w:p>
    <w:p>
      <w:pPr>
        <w:pStyle w:val="ListParagraph"/>
        <w:numPr>
          <w:ilvl w:val="0"/>
          <w:numId w:val="2"/>
        </w:numPr>
        <w:spacing w:after="100"/>
      </w:pPr>
      <w:r>
        <w:t xml:space="preserve">Most-frequent imputation across 17 categorical columns compresses variance and biases estimates toward the modal category.</w:t>
      </w:r>
    </w:p>
    <w:p>
      <w:pPr>
        <w:pStyle w:val="ListParagraph"/>
        <w:numPr>
          <w:ilvl w:val="0"/>
          <w:numId w:val="2"/>
        </w:numPr>
        <w:spacing w:after="100"/>
      </w:pPr>
      <w:r>
        <w:t xml:space="preserve">The causal graph derived from this table contains 53 cycles and is not a strict DAG.</w:t>
      </w:r>
    </w:p>
    <w:p>
      <w:pPr>
        <w:pStyle w:val="Heading1"/>
      </w:pPr>
      <w:r>
        <w:t xml:space="preserve">Profiled Schema</w:t>
      </w:r>
    </w:p>
    <w:p>
      <w:pPr>
        <w:pStyle w:val="Heading2"/>
      </w:pPr>
      <w:r>
        <w:t xml:space="preserve">final_data.pkl — merged analysis table</w:t>
      </w:r>
    </w:p>
    <w:p>
      <w:pPr>
        <w:spacing w:after="80"/>
      </w:pPr>
      <w:r>
        <w:rPr>
          <w:color w:val="595959"/>
          <w:sz w:val="19"/>
          <w:szCs w:val="19"/>
        </w:rPr>
        <w:t xml:space="preserve">Rows: 31,559   ·   Columns: 52   ·   Duplicate rows: 20,007</w:t>
      </w:r>
    </w:p>
    <w:p>
      <w:pPr>
        <w:spacing w:after="100"/>
      </w:pPr>
      <w:r>
        <w:rPr>
          <w:rFonts w:ascii="Consolas" w:cs="Consolas" w:eastAsia="Consolas" w:hAnsi="Consolas"/>
          <w:color w:val="595959"/>
          <w:sz w:val="18"/>
          <w:szCs w:val="18"/>
        </w:rPr>
        <w:t xml:space="preserve">Source file: Causal_inference-Case_study/01_Data_Analysis/final_data.pkl</w:t>
      </w:r>
    </w:p>
    <w:p>
      <w:pPr>
        <w:pBdr>
          <w:left w:val="single" w:color="1F4E79" w:sz="12" w:space="8"/>
        </w:pBdr>
        <w:spacing w:after="140"/>
        <w:ind w:left="200"/>
      </w:pPr>
      <w:r>
        <w:rPr>
          <w:i/>
          <w:iCs/>
          <w:color w:val="333333"/>
          <w:sz w:val="19"/>
          <w:szCs w:val="19"/>
        </w:rPr>
        <w:t xml:space="preserve">Output of get_initial_data(): 9 source CSVs merged, engineered, and imputed.</w:t>
      </w:r>
    </w:p>
    <w:tbl>
      <w:tblPr>
        <w:tblW w:type="dxa" w:w="10080"/>
        <w:tblBorders>
          <w:top w:val="single" w:color="D0D7DE" w:sz="4"/>
          <w:left w:val="single" w:color="D0D7DE" w:sz="4"/>
          <w:bottom w:val="single" w:color="D0D7DE" w:sz="4"/>
          <w:right w:val="single" w:color="D0D7DE" w:sz="4"/>
          <w:insideH w:val="single" w:color="D0D7DE" w:sz="2"/>
          <w:insideV w:val="single" w:color="D0D7DE" w:sz="2"/>
        </w:tblBorders>
      </w:tblPr>
      <w:tblGrid>
        <w:gridCol w:w="3060"/>
        <w:gridCol w:w="1240"/>
        <w:gridCol w:w="900"/>
        <w:gridCol w:w="1180"/>
        <w:gridCol w:w="3700"/>
      </w:tblGrid>
      <w:tr>
        <w:trPr>
          <w:tblHeader/>
        </w:trPr>
        <w:tc>
          <w:tcPr>
            <w:tcW w:type="dxa" w:w="3060"/>
            <w:shd w:fill="EEF3F8" w:color="auto" w:val="clear"/>
            <w:tcMar>
              <w:top w:type="dxa" w:w="60"/>
              <w:left w:type="dxa" w:w="100"/>
              <w:bottom w:type="dxa" w:w="60"/>
              <w:right w:type="dxa" w:w="100"/>
            </w:tcMar>
          </w:tcPr>
          <w:p>
            <w:pPr>
              <w:spacing w:after="0" w:line="240"/>
            </w:pPr>
            <w:r>
              <w:rPr>
                <w:b/>
                <w:bCs/>
                <w:color w:val="1F4E79"/>
                <w:sz w:val="17"/>
                <w:szCs w:val="17"/>
              </w:rPr>
              <w:t xml:space="preserve">Field</w:t>
            </w:r>
          </w:p>
        </w:tc>
        <w:tc>
          <w:tcPr>
            <w:tcW w:type="dxa" w:w="1240"/>
            <w:shd w:fill="EEF3F8" w:color="auto" w:val="clear"/>
            <w:tcMar>
              <w:top w:type="dxa" w:w="60"/>
              <w:left w:type="dxa" w:w="100"/>
              <w:bottom w:type="dxa" w:w="60"/>
              <w:right w:type="dxa" w:w="100"/>
            </w:tcMar>
          </w:tcPr>
          <w:p>
            <w:pPr>
              <w:spacing w:after="0" w:line="240"/>
            </w:pPr>
            <w:r>
              <w:rPr>
                <w:b/>
                <w:bCs/>
                <w:color w:val="1F4E79"/>
                <w:sz w:val="17"/>
                <w:szCs w:val="17"/>
              </w:rPr>
              <w:t xml:space="preserve">Type</w:t>
            </w:r>
          </w:p>
        </w:tc>
        <w:tc>
          <w:tcPr>
            <w:tcW w:type="dxa" w:w="900"/>
            <w:shd w:fill="EEF3F8" w:color="auto" w:val="clear"/>
            <w:tcMar>
              <w:top w:type="dxa" w:w="60"/>
              <w:left w:type="dxa" w:w="100"/>
              <w:bottom w:type="dxa" w:w="60"/>
              <w:right w:type="dxa" w:w="100"/>
            </w:tcMar>
          </w:tcPr>
          <w:p>
            <w:pPr>
              <w:spacing w:after="0" w:line="240"/>
            </w:pPr>
            <w:r>
              <w:rPr>
                <w:b/>
                <w:bCs/>
                <w:color w:val="1F4E79"/>
                <w:sz w:val="17"/>
                <w:szCs w:val="17"/>
              </w:rPr>
              <w:t xml:space="preserve">Null %</w:t>
            </w:r>
          </w:p>
        </w:tc>
        <w:tc>
          <w:tcPr>
            <w:tcW w:type="dxa" w:w="1180"/>
            <w:shd w:fill="EEF3F8" w:color="auto" w:val="clear"/>
            <w:tcMar>
              <w:top w:type="dxa" w:w="60"/>
              <w:left w:type="dxa" w:w="100"/>
              <w:bottom w:type="dxa" w:w="60"/>
              <w:right w:type="dxa" w:w="100"/>
            </w:tcMar>
          </w:tcPr>
          <w:p>
            <w:pPr>
              <w:spacing w:after="0" w:line="240"/>
            </w:pPr>
            <w:r>
              <w:rPr>
                <w:b/>
                <w:bCs/>
                <w:color w:val="1F4E79"/>
                <w:sz w:val="17"/>
                <w:szCs w:val="17"/>
              </w:rPr>
              <w:t xml:space="preserve">Distinct</w:t>
            </w:r>
          </w:p>
        </w:tc>
        <w:tc>
          <w:tcPr>
            <w:tcW w:type="dxa" w:w="3700"/>
            <w:shd w:fill="EEF3F8" w:color="auto" w:val="clear"/>
            <w:tcMar>
              <w:top w:type="dxa" w:w="60"/>
              <w:left w:type="dxa" w:w="100"/>
              <w:bottom w:type="dxa" w:w="60"/>
              <w:right w:type="dxa" w:w="100"/>
            </w:tcMar>
          </w:tcPr>
          <w:p>
            <w:pPr>
              <w:spacing w:after="0" w:line="240"/>
            </w:pPr>
            <w:r>
              <w:rPr>
                <w:b/>
                <w:bCs/>
                <w:color w:val="1F4E79"/>
                <w:sz w:val="17"/>
                <w:szCs w:val="17"/>
              </w:rPr>
              <w:t xml:space="preserve">Range / top values</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p.latitude</w:t>
            </w:r>
          </w:p>
        </w:tc>
        <w:tc>
          <w:tcPr>
            <w:tcW w:type="dxa" w:w="1240"/>
            <w:tcMar>
              <w:top w:type="dxa" w:w="60"/>
              <w:left w:type="dxa" w:w="100"/>
              <w:bottom w:type="dxa" w:w="60"/>
              <w:right w:type="dxa" w:w="100"/>
            </w:tcMar>
          </w:tcPr>
          <w:p>
            <w:pPr>
              <w:spacing w:after="0" w:line="240"/>
            </w:pPr>
            <w:r>
              <w:rPr>
                <w:b w:val="false"/>
                <w:bCs w:val="false"/>
                <w:sz w:val="17"/>
                <w:szCs w:val="17"/>
              </w:rPr>
              <w:t xml:space="preserve">float64</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128</w:t>
            </w:r>
          </w:p>
        </w:tc>
        <w:tc>
          <w:tcPr>
            <w:tcW w:type="dxa" w:w="3700"/>
            <w:tcMar>
              <w:top w:type="dxa" w:w="60"/>
              <w:left w:type="dxa" w:w="100"/>
              <w:bottom w:type="dxa" w:w="60"/>
              <w:right w:type="dxa" w:w="100"/>
            </w:tcMar>
          </w:tcPr>
          <w:p>
            <w:pPr>
              <w:spacing w:after="0" w:line="240"/>
            </w:pPr>
            <w:r>
              <w:rPr>
                <w:b w:val="false"/>
                <w:bCs w:val="false"/>
                <w:sz w:val="17"/>
                <w:szCs w:val="17"/>
              </w:rPr>
              <w:t xml:space="preserve">min 18.81 · med 22.16 · max 23.77 · mean 21.88</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p.longitude</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float64</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126</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min -101.1 · med -100.9 · max -99.07 · mean -100.7</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birth_year</w:t>
            </w:r>
          </w:p>
        </w:tc>
        <w:tc>
          <w:tcPr>
            <w:tcW w:type="dxa" w:w="1240"/>
            <w:tcMar>
              <w:top w:type="dxa" w:w="60"/>
              <w:left w:type="dxa" w:w="100"/>
              <w:bottom w:type="dxa" w:w="60"/>
              <w:right w:type="dxa" w:w="100"/>
            </w:tcMar>
          </w:tcPr>
          <w:p>
            <w:pPr>
              <w:spacing w:after="0" w:line="240"/>
            </w:pPr>
            <w:r>
              <w:rPr>
                <w:b w:val="false"/>
                <w:bCs w:val="false"/>
                <w:sz w:val="17"/>
                <w:szCs w:val="17"/>
              </w:rPr>
              <w:t xml:space="preserve">int64</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21</w:t>
            </w:r>
          </w:p>
        </w:tc>
        <w:tc>
          <w:tcPr>
            <w:tcW w:type="dxa" w:w="3700"/>
            <w:tcMar>
              <w:top w:type="dxa" w:w="60"/>
              <w:left w:type="dxa" w:w="100"/>
              <w:bottom w:type="dxa" w:w="60"/>
              <w:right w:type="dxa" w:w="100"/>
            </w:tcMar>
          </w:tcPr>
          <w:p>
            <w:pPr>
              <w:spacing w:after="0" w:line="240"/>
            </w:pPr>
            <w:r>
              <w:rPr>
                <w:b w:val="false"/>
                <w:bCs w:val="false"/>
                <w:sz w:val="17"/>
                <w:szCs w:val="17"/>
              </w:rPr>
              <w:t xml:space="preserve">min 1,930 · med 1,988 · max 1,994 · mean 1,983.69</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weight</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int64</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49</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min 40 · med 66 · max 120 · mean 65.12</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height</w:t>
            </w:r>
          </w:p>
        </w:tc>
        <w:tc>
          <w:tcPr>
            <w:tcW w:type="dxa" w:w="1240"/>
            <w:tcMar>
              <w:top w:type="dxa" w:w="60"/>
              <w:left w:type="dxa" w:w="100"/>
              <w:bottom w:type="dxa" w:w="60"/>
              <w:right w:type="dxa" w:w="100"/>
            </w:tcMar>
          </w:tcPr>
          <w:p>
            <w:pPr>
              <w:spacing w:after="0" w:line="240"/>
            </w:pPr>
            <w:r>
              <w:rPr>
                <w:b w:val="false"/>
                <w:bCs w:val="false"/>
                <w:sz w:val="17"/>
                <w:szCs w:val="17"/>
              </w:rPr>
              <w:t xml:space="preserve">float64</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38</w:t>
            </w:r>
          </w:p>
        </w:tc>
        <w:tc>
          <w:tcPr>
            <w:tcW w:type="dxa" w:w="3700"/>
            <w:tcMar>
              <w:top w:type="dxa" w:w="60"/>
              <w:left w:type="dxa" w:w="100"/>
              <w:bottom w:type="dxa" w:w="60"/>
              <w:right w:type="dxa" w:w="100"/>
            </w:tcMar>
          </w:tcPr>
          <w:p>
            <w:pPr>
              <w:spacing w:after="0" w:line="240"/>
            </w:pPr>
            <w:r>
              <w:rPr>
                <w:b w:val="false"/>
                <w:bCs w:val="false"/>
                <w:sz w:val="17"/>
                <w:szCs w:val="17"/>
              </w:rPr>
              <w:t xml:space="preserve">min 1.200 · med 1.640 · max 2 · mean 1.644</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placeID</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int64</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130</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min 132,560 · med 135,042 · max 135,109 · mean 134,621.04</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rating</w:t>
            </w:r>
          </w:p>
        </w:tc>
        <w:tc>
          <w:tcPr>
            <w:tcW w:type="dxa" w:w="1240"/>
            <w:tcMar>
              <w:top w:type="dxa" w:w="60"/>
              <w:left w:type="dxa" w:w="100"/>
              <w:bottom w:type="dxa" w:w="60"/>
              <w:right w:type="dxa" w:w="100"/>
            </w:tcMar>
          </w:tcPr>
          <w:p>
            <w:pPr>
              <w:spacing w:after="0" w:line="240"/>
            </w:pPr>
            <w:r>
              <w:rPr>
                <w:b w:val="false"/>
                <w:bCs w:val="false"/>
                <w:sz w:val="17"/>
                <w:szCs w:val="17"/>
              </w:rPr>
              <w:t xml:space="preserve">int64</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min 0 · med 1 · max 2 · mean 0.9106</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food_rating</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int64</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3</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min 0 · med 1 · max 2 · mean 0.8839</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service_rating</w:t>
            </w:r>
          </w:p>
        </w:tc>
        <w:tc>
          <w:tcPr>
            <w:tcW w:type="dxa" w:w="1240"/>
            <w:tcMar>
              <w:top w:type="dxa" w:w="60"/>
              <w:left w:type="dxa" w:w="100"/>
              <w:bottom w:type="dxa" w:w="60"/>
              <w:right w:type="dxa" w:w="100"/>
            </w:tcMar>
          </w:tcPr>
          <w:p>
            <w:pPr>
              <w:spacing w:after="0" w:line="240"/>
            </w:pPr>
            <w:r>
              <w:rPr>
                <w:b w:val="false"/>
                <w:bCs w:val="false"/>
                <w:sz w:val="17"/>
                <w:szCs w:val="17"/>
              </w:rPr>
              <w:t xml:space="preserve">int64</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min 0 · med 1 · max 2 · mean 0.7978</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latitude</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float64</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129</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min 18.86 · med 22.15 · max 23.76 · mean 22.07</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longitude</w:t>
            </w:r>
          </w:p>
        </w:tc>
        <w:tc>
          <w:tcPr>
            <w:tcW w:type="dxa" w:w="1240"/>
            <w:tcMar>
              <w:top w:type="dxa" w:w="60"/>
              <w:left w:type="dxa" w:w="100"/>
              <w:bottom w:type="dxa" w:w="60"/>
              <w:right w:type="dxa" w:w="100"/>
            </w:tcMar>
          </w:tcPr>
          <w:p>
            <w:pPr>
              <w:spacing w:after="0" w:line="240"/>
            </w:pPr>
            <w:r>
              <w:rPr>
                <w:b w:val="false"/>
                <w:bCs w:val="false"/>
                <w:sz w:val="17"/>
                <w:szCs w:val="17"/>
              </w:rPr>
              <w:t xml:space="preserve">float64</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129</w:t>
            </w:r>
          </w:p>
        </w:tc>
        <w:tc>
          <w:tcPr>
            <w:tcW w:type="dxa" w:w="3700"/>
            <w:tcMar>
              <w:top w:type="dxa" w:w="60"/>
              <w:left w:type="dxa" w:w="100"/>
              <w:bottom w:type="dxa" w:w="60"/>
              <w:right w:type="dxa" w:w="100"/>
            </w:tcMar>
          </w:tcPr>
          <w:p>
            <w:pPr>
              <w:spacing w:after="0" w:line="240"/>
            </w:pPr>
            <w:r>
              <w:rPr>
                <w:b w:val="false"/>
                <w:bCs w:val="false"/>
                <w:sz w:val="17"/>
                <w:szCs w:val="17"/>
              </w:rPr>
              <w:t xml:space="preserve">min -101.0 · med -101.0 · max -99.13 · mean -100.9</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userID</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138</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smoker</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2</w:t>
            </w:r>
          </w:p>
        </w:tc>
        <w:tc>
          <w:tcPr>
            <w:tcW w:type="dxa" w:w="3700"/>
            <w:tcMar>
              <w:top w:type="dxa" w:w="60"/>
              <w:left w:type="dxa" w:w="100"/>
              <w:bottom w:type="dxa" w:w="60"/>
              <w:right w:type="dxa" w:w="100"/>
            </w:tcMar>
          </w:tcPr>
          <w:p>
            <w:pPr>
              <w:spacing w:after="0" w:line="240"/>
            </w:pPr>
            <w:r>
              <w:rPr>
                <w:b w:val="false"/>
                <w:bCs w:val="false"/>
                <w:sz w:val="17"/>
                <w:szCs w:val="17"/>
              </w:rPr>
              <w:t xml:space="preserve">false 93.57% · true 6.43%</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drink_level</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3</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casual drinker 56.74% · abstemious 31.77% · social drinker 11.49%</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dress_preference</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4</w:t>
            </w:r>
          </w:p>
        </w:tc>
        <w:tc>
          <w:tcPr>
            <w:tcW w:type="dxa" w:w="3700"/>
            <w:tcMar>
              <w:top w:type="dxa" w:w="60"/>
              <w:left w:type="dxa" w:w="100"/>
              <w:bottom w:type="dxa" w:w="60"/>
              <w:right w:type="dxa" w:w="100"/>
            </w:tcMar>
          </w:tcPr>
          <w:p>
            <w:pPr>
              <w:spacing w:after="0" w:line="240"/>
            </w:pPr>
            <w:r>
              <w:rPr>
                <w:b w:val="false"/>
                <w:bCs w:val="false"/>
                <w:sz w:val="17"/>
                <w:szCs w:val="17"/>
              </w:rPr>
              <w:t xml:space="preserve">informal 68.58% · no preference 16.52% · formal 13.24%</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ambience</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3</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family 58.99% · friends 21.52% · solitary 19.49%</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transport</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on foot 44.18% · public 40.55% · car owner 15.27%</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marital_status</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3</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single 96.61% · married 2.69% · widow 0.69%</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hijos</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independent 61.27% · kids 38.22% · dependent 0.51%</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interest</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5</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variety 51.91% · technology 26.78% · eco-friendly 11.91%</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personality</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4</w:t>
            </w:r>
          </w:p>
        </w:tc>
        <w:tc>
          <w:tcPr>
            <w:tcW w:type="dxa" w:w="3700"/>
            <w:tcMar>
              <w:top w:type="dxa" w:w="60"/>
              <w:left w:type="dxa" w:w="100"/>
              <w:bottom w:type="dxa" w:w="60"/>
              <w:right w:type="dxa" w:w="100"/>
            </w:tcMar>
          </w:tcPr>
          <w:p>
            <w:pPr>
              <w:spacing w:after="0" w:line="240"/>
            </w:pPr>
            <w:r>
              <w:rPr>
                <w:b w:val="false"/>
                <w:bCs w:val="false"/>
                <w:sz w:val="17"/>
                <w:szCs w:val="17"/>
              </w:rPr>
              <w:t xml:space="preserve">hunter-ostentatious 42.04% · thrifty-protector 35.53% · hard-worker 21.32%</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religion</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5</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Catholic 86.91% · none 10.99% · Christian 0.98%</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activity</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4</w:t>
            </w:r>
          </w:p>
        </w:tc>
        <w:tc>
          <w:tcPr>
            <w:tcW w:type="dxa" w:w="3700"/>
            <w:tcMar>
              <w:top w:type="dxa" w:w="60"/>
              <w:left w:type="dxa" w:w="100"/>
              <w:bottom w:type="dxa" w:w="60"/>
              <w:right w:type="dxa" w:w="100"/>
            </w:tcMar>
          </w:tcPr>
          <w:p>
            <w:pPr>
              <w:spacing w:after="0" w:line="240"/>
            </w:pPr>
            <w:r>
              <w:rPr>
                <w:b w:val="false"/>
                <w:bCs w:val="false"/>
                <w:sz w:val="17"/>
                <w:szCs w:val="17"/>
              </w:rPr>
              <w:t xml:space="preserve">student 89.6% · professional 9.94% · unemployed 0.35%</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color</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8</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purple 36.24% · blue 28.27% · green 15.09%</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budget</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medium 50.36% · low 47.85% · high 1.79%</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Upayment</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5</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cash 81.03% · VISA 7.73% · MasterCard-Eurocard 5.49%</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User_cuisine</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103</w:t>
            </w:r>
          </w:p>
        </w:tc>
        <w:tc>
          <w:tcPr>
            <w:tcW w:type="dxa" w:w="3700"/>
            <w:tcMar>
              <w:top w:type="dxa" w:w="60"/>
              <w:left w:type="dxa" w:w="100"/>
              <w:bottom w:type="dxa" w:w="60"/>
              <w:right w:type="dxa" w:w="100"/>
            </w:tcMar>
          </w:tcPr>
          <w:p>
            <w:pPr>
              <w:spacing w:after="0" w:line="240"/>
            </w:pPr>
            <w:r>
              <w:rPr>
                <w:b w:val="false"/>
                <w:bCs w:val="false"/>
                <w:sz w:val="17"/>
                <w:szCs w:val="17"/>
              </w:rPr>
              <w:t xml:space="preserve"/>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the_geom_meter</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130</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restaurant_name</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129</w:t>
            </w:r>
          </w:p>
        </w:tc>
        <w:tc>
          <w:tcPr>
            <w:tcW w:type="dxa" w:w="3700"/>
            <w:tcMar>
              <w:top w:type="dxa" w:w="60"/>
              <w:left w:type="dxa" w:w="100"/>
              <w:bottom w:type="dxa" w:w="60"/>
              <w:right w:type="dxa" w:w="100"/>
            </w:tcMar>
          </w:tcPr>
          <w:p>
            <w:pPr>
              <w:spacing w:after="0" w:line="240"/>
            </w:pPr>
            <w:r>
              <w:rPr>
                <w:b w:val="false"/>
                <w:bCs w:val="false"/>
                <w:sz w:val="17"/>
                <w:szCs w:val="17"/>
              </w:rPr>
              <w:t xml:space="preserve"/>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address</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99</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city</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16</w:t>
            </w:r>
          </w:p>
        </w:tc>
        <w:tc>
          <w:tcPr>
            <w:tcW w:type="dxa" w:w="3700"/>
            <w:tcMar>
              <w:top w:type="dxa" w:w="60"/>
              <w:left w:type="dxa" w:w="100"/>
              <w:bottom w:type="dxa" w:w="60"/>
              <w:right w:type="dxa" w:w="100"/>
            </w:tcMar>
          </w:tcPr>
          <w:p>
            <w:pPr>
              <w:spacing w:after="0" w:line="240"/>
            </w:pPr>
            <w:r>
              <w:rPr>
                <w:b w:val="false"/>
                <w:bCs w:val="false"/>
                <w:sz w:val="17"/>
                <w:szCs w:val="17"/>
              </w:rPr>
              <w:t xml:space="preserve">San Luis Potosi 86.83% · san luis potosi 3.94% · Cuernavaca 2.69%</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state</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12</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SLP 75.29% · San Luis Potosi 11.72% · Morelos 3.18%</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country</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2</w:t>
            </w:r>
          </w:p>
        </w:tc>
        <w:tc>
          <w:tcPr>
            <w:tcW w:type="dxa" w:w="3700"/>
            <w:tcMar>
              <w:top w:type="dxa" w:w="60"/>
              <w:left w:type="dxa" w:w="100"/>
              <w:bottom w:type="dxa" w:w="60"/>
              <w:right w:type="dxa" w:w="100"/>
            </w:tcMar>
          </w:tcPr>
          <w:p>
            <w:pPr>
              <w:spacing w:after="0" w:line="240"/>
            </w:pPr>
            <w:r>
              <w:rPr>
                <w:b w:val="false"/>
                <w:bCs w:val="false"/>
                <w:sz w:val="17"/>
                <w:szCs w:val="17"/>
              </w:rPr>
              <w:t xml:space="preserve">Mexico 94.9% · mexico 5.1%</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zip</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34</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alcohol</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Wine-Beer 47.8% · No_Alcohol_Served 38.97% · Full_Bar 13.23%</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smoking_area</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5</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none 54.98% · section 25.86% · not permitted 13.21%</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dress_code</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informal 89.92% · casual 9.87% · formal 0.21%</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accessibility</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3</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no_accessibility 77.64% · completely 15.05% · partially 7.32%</w:t>
            </w:r>
          </w:p>
        </w:tc>
      </w:tr>
      <w:tr>
        <w:tc>
          <w:tcPr>
            <w:tcW w:type="dxa" w:w="3060"/>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price</w:t>
            </w:r>
          </w:p>
        </w:tc>
        <w:tc>
          <w:tcPr>
            <w:tcW w:type="dxa" w:w="1240"/>
            <w:tcMar>
              <w:top w:type="dxa" w:w="60"/>
              <w:left w:type="dxa" w:w="100"/>
              <w:bottom w:type="dxa" w:w="60"/>
              <w:right w:type="dxa" w:w="100"/>
            </w:tcMar>
          </w:tcPr>
          <w:p>
            <w:pPr>
              <w:spacing w:after="0" w:line="240"/>
            </w:pPr>
            <w:r>
              <w:rPr>
                <w:b w:val="false"/>
                <w:bCs w:val="false"/>
                <w:sz w:val="17"/>
                <w:szCs w:val="17"/>
              </w:rPr>
              <w:t xml:space="preserve">object</w:t>
            </w:r>
          </w:p>
        </w:tc>
        <w:tc>
          <w:tcPr>
            <w:tcW w:type="dxa" w:w="900"/>
            <w:tcMar>
              <w:top w:type="dxa" w:w="60"/>
              <w:left w:type="dxa" w:w="100"/>
              <w:bottom w:type="dxa" w:w="60"/>
              <w:right w:type="dxa" w:w="100"/>
            </w:tcMar>
          </w:tcPr>
          <w:p>
            <w:pPr>
              <w:spacing w:after="0" w:line="240"/>
            </w:pPr>
            <w:r>
              <w:rPr>
                <w:b w:val="false"/>
                <w:bCs w:val="false"/>
                <w:sz w:val="17"/>
                <w:szCs w:val="17"/>
              </w:rPr>
              <w:t xml:space="preserve">0.00</w:t>
            </w:r>
          </w:p>
        </w:tc>
        <w:tc>
          <w:tcPr>
            <w:tcW w:type="dxa" w:w="1180"/>
            <w:tcMar>
              <w:top w:type="dxa" w:w="60"/>
              <w:left w:type="dxa" w:w="100"/>
              <w:bottom w:type="dxa" w:w="60"/>
              <w:right w:type="dxa" w:w="100"/>
            </w:tcMar>
          </w:tcPr>
          <w:p>
            <w:pPr>
              <w:spacing w:after="0" w:line="240"/>
            </w:pPr>
            <w:r>
              <w:rPr>
                <w:b w:val="false"/>
                <w:bCs w:val="false"/>
                <w:sz w:val="17"/>
                <w:szCs w:val="17"/>
              </w:rPr>
              <w:t xml:space="preserve">3</w:t>
            </w:r>
          </w:p>
        </w:tc>
        <w:tc>
          <w:tcPr>
            <w:tcW w:type="dxa" w:w="3700"/>
            <w:tcMar>
              <w:top w:type="dxa" w:w="60"/>
              <w:left w:type="dxa" w:w="100"/>
              <w:bottom w:type="dxa" w:w="60"/>
              <w:right w:type="dxa" w:w="100"/>
            </w:tcMar>
          </w:tcPr>
          <w:p>
            <w:pPr>
              <w:spacing w:after="0" w:line="240"/>
            </w:pPr>
            <w:r>
              <w:rPr>
                <w:b w:val="false"/>
                <w:bCs w:val="false"/>
                <w:sz w:val="17"/>
                <w:szCs w:val="17"/>
              </w:rPr>
              <w:t xml:space="preserve">medium 59.87% · high 28.2% · low 11.93%</w:t>
            </w:r>
          </w:p>
        </w:tc>
      </w:tr>
      <w:tr>
        <w:tc>
          <w:tcPr>
            <w:tcW w:type="dxa" w:w="3060"/>
            <w:shd w:fill="F7F9FB" w:color="auto" w:val="clear"/>
            <w:tcMar>
              <w:top w:type="dxa" w:w="60"/>
              <w:left w:type="dxa" w:w="100"/>
              <w:bottom w:type="dxa" w:w="60"/>
              <w:right w:type="dxa" w:w="100"/>
            </w:tcMar>
          </w:tcPr>
          <w:p>
            <w:pPr>
              <w:spacing w:after="0" w:line="240"/>
            </w:pPr>
            <w:r>
              <w:rPr>
                <w:rFonts w:ascii="Consolas" w:cs="Consolas" w:eastAsia="Consolas" w:hAnsi="Consolas"/>
                <w:b w:val="false"/>
                <w:bCs w:val="false"/>
                <w:sz w:val="17"/>
                <w:szCs w:val="17"/>
              </w:rPr>
              <w:t xml:space="preserve">Rambience</w:t>
            </w:r>
          </w:p>
        </w:tc>
        <w:tc>
          <w:tcPr>
            <w:tcW w:type="dxa" w:w="1240"/>
            <w:shd w:fill="F7F9FB" w:color="auto" w:val="clear"/>
            <w:tcMar>
              <w:top w:type="dxa" w:w="60"/>
              <w:left w:type="dxa" w:w="100"/>
              <w:bottom w:type="dxa" w:w="60"/>
              <w:right w:type="dxa" w:w="100"/>
            </w:tcMar>
          </w:tcPr>
          <w:p>
            <w:pPr>
              <w:spacing w:after="0" w:line="240"/>
            </w:pPr>
            <w:r>
              <w:rPr>
                <w:b w:val="false"/>
                <w:bCs w:val="false"/>
                <w:sz w:val="17"/>
                <w:szCs w:val="17"/>
              </w:rPr>
              <w:t xml:space="preserve">object</w:t>
            </w:r>
          </w:p>
        </w:tc>
        <w:tc>
          <w:tcPr>
            <w:tcW w:type="dxa" w:w="900"/>
            <w:shd w:fill="F7F9FB" w:color="auto" w:val="clear"/>
            <w:tcMar>
              <w:top w:type="dxa" w:w="60"/>
              <w:left w:type="dxa" w:w="100"/>
              <w:bottom w:type="dxa" w:w="60"/>
              <w:right w:type="dxa" w:w="100"/>
            </w:tcMar>
          </w:tcPr>
          <w:p>
            <w:pPr>
              <w:spacing w:after="0" w:line="240"/>
            </w:pPr>
            <w:r>
              <w:rPr>
                <w:b w:val="false"/>
                <w:bCs w:val="false"/>
                <w:sz w:val="17"/>
                <w:szCs w:val="17"/>
              </w:rPr>
              <w:t xml:space="preserve">0.00</w:t>
            </w:r>
          </w:p>
        </w:tc>
        <w:tc>
          <w:tcPr>
            <w:tcW w:type="dxa" w:w="1180"/>
            <w:shd w:fill="F7F9FB" w:color="auto" w:val="clear"/>
            <w:tcMar>
              <w:top w:type="dxa" w:w="60"/>
              <w:left w:type="dxa" w:w="100"/>
              <w:bottom w:type="dxa" w:w="60"/>
              <w:right w:type="dxa" w:w="100"/>
            </w:tcMar>
          </w:tcPr>
          <w:p>
            <w:pPr>
              <w:spacing w:after="0" w:line="240"/>
            </w:pPr>
            <w:r>
              <w:rPr>
                <w:b w:val="false"/>
                <w:bCs w:val="false"/>
                <w:sz w:val="17"/>
                <w:szCs w:val="17"/>
              </w:rPr>
              <w:t xml:space="preserve">2</w:t>
            </w:r>
          </w:p>
        </w:tc>
        <w:tc>
          <w:tcPr>
            <w:tcW w:type="dxa" w:w="3700"/>
            <w:shd w:fill="F7F9FB" w:color="auto" w:val="clear"/>
            <w:tcMar>
              <w:top w:type="dxa" w:w="60"/>
              <w:left w:type="dxa" w:w="100"/>
              <w:bottom w:type="dxa" w:w="60"/>
              <w:right w:type="dxa" w:w="100"/>
            </w:tcMar>
          </w:tcPr>
          <w:p>
            <w:pPr>
              <w:spacing w:after="0" w:line="240"/>
            </w:pPr>
            <w:r>
              <w:rPr>
                <w:b w:val="false"/>
                <w:bCs w:val="false"/>
                <w:sz w:val="17"/>
                <w:szCs w:val="17"/>
              </w:rPr>
              <w:t xml:space="preserve">familiar 97.87% · quiet 2.13%</w:t>
            </w:r>
          </w:p>
        </w:tc>
      </w:tr>
    </w:tbl>
    <w:p>
      <w:pPr>
        <w:spacing w:after="120" w:before="100"/>
      </w:pPr>
      <w:r>
        <w:rPr>
          <w:i/>
          <w:iCs/>
          <w:color w:val="595959"/>
          <w:sz w:val="18"/>
          <w:szCs w:val="18"/>
        </w:rPr>
        <w:t xml:space="preserve">12 further columns omitted here; the complete profile is in data_card.json.</w:t>
      </w:r>
    </w:p>
    <w:p>
      <w:pPr>
        <w:pBdr>
          <w:top w:val="single" w:color="D0D7DE" w:sz="4" w:space="8"/>
        </w:pBdr>
        <w:spacing w:before="360"/>
      </w:pPr>
      <w:r>
        <w:rPr>
          <w:i/>
          <w:iCs/>
          <w:color w:val="595959"/>
          <w:sz w:val="17"/>
          <w:szCs w:val="17"/>
        </w:rPr>
        <w:t xml:space="preserve">Schema, null rates, cardinality, and distributions were computed directly from the committed data. Narrative sections are documented from the project README and source materials.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b/>
      <w:bCs/>
      <w:color w:val="1F4E79"/>
      <w:sz w:val="40"/>
      <w:szCs w:val="40"/>
    </w:rPr>
  </w:style>
  <w:style w:type="paragraph" w:styleId="Heading1">
    <w:name w:val="Heading 1"/>
    <w:basedOn w:val="Normal"/>
    <w:next w:val="Normal"/>
    <w:qFormat/>
    <w:pPr>
      <w:pBdr>
        <w:bottom w:val="single" w:color="D0D7DE" w:sz="6" w:space="6"/>
      </w:pBdr>
      <w:spacing w:after="130" w:before="340"/>
    </w:pPr>
    <w:rPr>
      <w:b/>
      <w:bCs/>
      <w:color w:val="1F4E79"/>
      <w:sz w:val="28"/>
      <w:szCs w:val="28"/>
    </w:rPr>
  </w:style>
  <w:style w:type="paragraph" w:styleId="Heading2">
    <w:name w:val="Heading 2"/>
    <w:basedOn w:val="Normal"/>
    <w:next w:val="Normal"/>
    <w:qFormat/>
    <w:pPr>
      <w:spacing w:after="90" w:before="220"/>
    </w:pPr>
    <w:rPr>
      <w:b/>
      <w:bCs/>
      <w:color w:val="2F5F8F"/>
      <w:sz w:val="23"/>
      <w:szCs w:val="23"/>
    </w:rPr>
  </w:style>
  <w:style w:type="paragraph" w:styleId="Heading3">
    <w:name w:val="Heading 3"/>
    <w:basedOn w:val="Normal"/>
    <w:next w:val="Normal"/>
    <w:qFormat/>
    <w:pPr>
      <w:spacing w:after="70" w:before="180"/>
    </w:pPr>
    <w:rPr>
      <w:b/>
      <w:bCs/>
      <w:color w:val="3B3B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rhhlauxyern8vht6cuid" Type="http://schemas.openxmlformats.org/officeDocument/2006/relationships/hyperlink" Target="https://archive.ics.uci.edu/dataset/232/restaurant+consumer+dat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2026-08-02T01:41:32.018Z</dcterms:created>
  <dcterms:modified xsi:type="dcterms:W3CDTF">2026-08-02T01:41:32.018Z</dcterms:modified>
</cp:coreProperties>
</file>

<file path=docProps/custom.xml><?xml version="1.0" encoding="utf-8"?>
<Properties xmlns="http://schemas.openxmlformats.org/officeDocument/2006/custom-properties" xmlns:vt="http://schemas.openxmlformats.org/officeDocument/2006/docPropsVTypes"/>
</file>