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b/>
          <w:bCs/>
          <w:color w:val="595959"/>
          <w:spacing w:val="60"/>
          <w:sz w:val="20"/>
          <w:szCs w:val="20"/>
        </w:rPr>
        <w:t xml:space="preserve">ML DESIGN DOCUMENT</w:t>
      </w:r>
    </w:p>
    <w:p>
      <w:pPr>
        <w:pStyle w:val="Title"/>
      </w:pPr>
      <w:r>
        <w:t xml:space="preserve">Restaurant Rating Causal Attribution</w:t>
      </w:r>
    </w:p>
    <w:p>
      <w:pPr>
        <w:spacing w:after="240"/>
      </w:pPr>
      <w:r>
        <w:rPr>
          <w:color w:val="2F5F8F"/>
          <w:sz w:val="24"/>
          <w:szCs w:val="24"/>
        </w:rPr>
        <w:t xml:space="preserve">DAG construction, DoWhy identification, mediation, and heterogeneous effects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400"/>
        <w:gridCol w:w="7440"/>
      </w:tblGrid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Causal_inference-Case_study</w:t>
            </w:r>
          </w:p>
        </w:tc>
      </w:tr>
      <w:tr>
        <w:tc>
          <w:tcPr>
            <w:tcW w:type="dxa" w:w="24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74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Ella Ndalla (ndallaella@gmail.com)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7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As-built — offline analysis, not deployed</w:t>
            </w:r>
          </w:p>
        </w:tc>
      </w:tr>
      <w:tr>
        <w:tc>
          <w:tcPr>
            <w:tcW w:type="dxa" w:w="24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74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2026-08-01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Related</w:t>
            </w:r>
          </w:p>
        </w:tc>
        <w:tc>
          <w:tcPr>
            <w:tcW w:type="dxa" w:w="7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model_cards/model_card.docx · data_cards/data_card.docx</w:t>
            </w:r>
          </w:p>
        </w:tc>
      </w:tr>
    </w:tbl>
    <w:p>
      <w:pPr>
        <w:spacing w:before="320"/>
      </w:pPr>
      <w:r>
        <w:t xml:space="preserve">A four-phase causal analysis that asks not just what correlates with restaurant ratings but what causes them and through which pathways. It builds a 31-node causal graph, estimates effects with DoWhy backdoor adjustment against a Shapley-value correlational baseline, then decomposes those effects with Baron &amp; Kenny mediation and IPW-based heterogeneous treatment effects across 17 pathways.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595959"/>
          <w:sz w:val="17"/>
          <w:szCs w:val="17"/>
        </w:rPr>
        <w:t xml:space="preserve">To populate this table in Word: select it, then press F9 (or right-click → Update Field).</w:t>
      </w:r>
    </w:p>
    <w:p>
      <w:r>
        <w:br w:type="page"/>
      </w:r>
    </w:p>
    <w:p>
      <w:pPr>
        <w:pStyle w:val="Heading1"/>
      </w:pPr>
      <w:r>
        <w:t xml:space="preserve">1. Problem Statement</w:t>
      </w:r>
    </w:p>
    <w:p>
      <w:r>
        <w:t xml:space="preserve">Attribution analysis usually stops at feature importance, which answers 'what moves with the outcome' and is routinely misread as 'what moves the outcome'. The gap matters: acting on an inflated correlational estimate wastes budget. This project makes the gap measurable by running both methods on the same data and comparing them directly.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Construct an explicit causal graph and identify treatment variables.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Estimate causal effects via backdoor adjustment and quantify how far they sit from naive correlations.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Decompose effects into direct and mediated components.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 whether effects differ across customer subgroups.</w:t>
      </w:r>
    </w:p>
    <w:p>
      <w:pPr>
        <w:pStyle w:val="Heading2"/>
      </w:pPr>
      <w:r>
        <w:t xml:space="preserve">Non-goals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Prediction — no model is trained to forecast ratings.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Deployment or serving.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Establishing generalizable findings about restaurants outside the study pool.</w:t>
      </w:r>
    </w:p>
    <w:p>
      <w:pPr>
        <w:pStyle w:val="Heading1"/>
      </w:pPr>
      <w:r>
        <w:t xml:space="preserve">2. Requirements &amp; Constraints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1500"/>
        <w:gridCol w:w="4200"/>
        <w:gridCol w:w="4140"/>
      </w:tblGrid>
      <w:tr>
        <w:trPr>
          <w:tblHeader/>
        </w:trPr>
        <w:tc>
          <w:tcPr>
            <w:tcW w:type="dxa" w:w="15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14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canonical data source for all downstream phases</w:t>
            </w:r>
          </w:p>
        </w:tc>
        <w:tc>
          <w:tcPr>
            <w:tcW w:type="dxa" w:w="4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 — every module imports get_initial_data() from 01_Data_Analysis/data_pipeline.py</w:t>
            </w:r>
          </w:p>
        </w:tc>
      </w:tr>
      <w:tr>
        <w:tc>
          <w:tcPr>
            <w:tcW w:type="dxa" w:w="15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Formal causal identification, not ad-hoc regression</w:t>
            </w:r>
          </w:p>
        </w:tc>
        <w:tc>
          <w:tcPr>
            <w:tcW w:type="dxa" w:w="41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 — DoWhy backdoor identification against the declared graph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the correlational baseline alongside the causal estimate</w:t>
            </w:r>
          </w:p>
        </w:tc>
        <w:tc>
          <w:tcPr>
            <w:tcW w:type="dxa" w:w="4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 — Shapley/OLS relative importance run in parallel</w:t>
            </w:r>
          </w:p>
        </w:tc>
      </w:tr>
      <w:tr>
        <w:tc>
          <w:tcPr>
            <w:tcW w:type="dxa" w:w="15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Decompose effects through mediators and across subgroups</w:t>
            </w:r>
          </w:p>
        </w:tc>
        <w:tc>
          <w:tcPr>
            <w:tcW w:type="dxa" w:w="41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 — MediationAnalysis class and IPW-based HTE over 17 pathways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Reproducible from raw CSVs</w:t>
            </w:r>
          </w:p>
        </w:tc>
        <w:tc>
          <w:tcPr>
            <w:tcW w:type="dxa" w:w="4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 — pipeline cached to final_data.pkl, regenerable end to end</w:t>
            </w:r>
          </w:p>
        </w:tc>
      </w:tr>
      <w:tr>
        <w:tc>
          <w:tcPr>
            <w:tcW w:type="dxa" w:w="15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Observational data only — no randomization available</w:t>
            </w:r>
          </w:p>
        </w:tc>
        <w:tc>
          <w:tcPr>
            <w:tcW w:type="dxa" w:w="41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Accepted; every estimate is conditional on the graph being right</w:t>
            </w:r>
          </w:p>
        </w:tc>
      </w:tr>
    </w:tbl>
    <w:p>
      <w:pPr>
        <w:pStyle w:val="Heading1"/>
      </w:pPr>
      <w:r>
        <w:t xml:space="preserve">3. Data</w:t>
      </w:r>
    </w:p>
    <w:p>
      <w:pPr>
        <w:pStyle w:val="Heading2"/>
      </w:pPr>
      <w:r>
        <w:t xml:space="preserve">Sources</w:t>
      </w:r>
    </w:p>
    <w:p>
      <w:r>
        <w:t xml:space="preserve">UCI Restaurant &amp; Consumer Data — 9 relational CSVs merged to 31,559 rows × 52 features</w:t>
      </w:r>
    </w:p>
    <w:p>
      <w:pPr>
        <w:pStyle w:val="Heading2"/>
      </w:pPr>
      <w:r>
        <w:t xml:space="preserve">Pipeline</w:t>
      </w:r>
    </w:p>
    <w:p>
      <w:r>
        <w:t xml:space="preserve">Nine CSVs joined via pandas left merges (user chain and restaurant chain, combined on placeID), then engineered: Haversine distance, KMeans location clusters (k=5), age groups, Jaccard cuisine-match score, business-hours categories. '?' replaced with NaN, most-frequent imputation across 17 categorical columns, then label encoding.</w:t>
      </w:r>
    </w:p>
    <w:p>
      <w:pPr>
        <w:pStyle w:val="Heading2"/>
      </w:pPr>
      <w:r>
        <w:t xml:space="preserve">Notes &amp; caveats</w:t>
      </w:r>
    </w:p>
    <w:p>
      <w:r>
        <w:t xml:space="preserve">Profiling shows zero remaining nulls across all 52 columns — because imputation already ran, so observed and imputed values are indistinguishable downstream. The left-join fan-out also means 31,559 rows represent far fewer unique user-restaurant pairs, so unweighted regressions implicitly weight users by how many payment methods and cuisines they list.</w:t>
      </w:r>
    </w:p>
    <w:p>
      <w:pPr>
        <w:spacing w:before="100"/>
      </w:pPr>
      <w:r>
        <w:rPr>
          <w:i/>
          <w:iCs/>
          <w:color w:val="595959"/>
          <w:sz w:val="18"/>
          <w:szCs w:val="18"/>
        </w:rPr>
        <w:t xml:space="preserve">Full schema, null rates, and quality issues: data_cards/data_card.docx.</w:t>
      </w:r>
    </w:p>
    <w:p>
      <w:pPr>
        <w:pStyle w:val="Heading1"/>
      </w:pPr>
      <w:r>
        <w:t xml:space="preserve">4. Modeling Approach</w:t>
      </w:r>
    </w:p>
    <w:p>
      <w:pPr>
        <w:pStyle w:val="Heading2"/>
      </w:pPr>
      <w:r>
        <w:t xml:space="preserve">Candidates considered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000"/>
        <w:gridCol w:w="3900"/>
        <w:gridCol w:w="2940"/>
      </w:tblGrid>
      <w:tr>
        <w:trPr>
          <w:tblHeader/>
        </w:trPr>
        <w:tc>
          <w:tcPr>
            <w:tcW w:type="dxa" w:w="30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Approach</w:t>
            </w:r>
          </w:p>
        </w:tc>
        <w:tc>
          <w:tcPr>
            <w:tcW w:type="dxa" w:w="3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Outcome</w:t>
            </w:r>
          </w:p>
        </w:tc>
        <w:tc>
          <w:tcPr>
            <w:tcW w:type="dxa" w:w="294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Shapley value attribution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food + service ≈ 84% of attribution</w:t>
            </w:r>
          </w:p>
        </w:tc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Kept as the correlational baseline</w:t>
            </w:r>
          </w:p>
        </w:tc>
      </w:tr>
      <w:tr>
        <w:tc>
          <w:tcPr>
            <w:tcW w:type="dxa" w:w="30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OLS relative importance / R²</w:t>
            </w:r>
          </w:p>
        </w:tc>
        <w:tc>
          <w:tcPr>
            <w:tcW w:type="dxa" w:w="39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variance decomposition</w:t>
            </w:r>
          </w:p>
        </w:tc>
        <w:tc>
          <w:tcPr>
            <w:tcW w:type="dxa" w:w="29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Kept as a secondary baseline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DoWhy backdoor identification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food_rating effect 0.549 vs 0.864 naive</w:t>
            </w:r>
          </w:p>
        </w:tc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Selected as the primary causal estimator</w:t>
            </w:r>
          </w:p>
        </w:tc>
      </w:tr>
      <w:tr>
        <w:tc>
          <w:tcPr>
            <w:tcW w:type="dxa" w:w="30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Baron &amp; Kenny mediation</w:t>
            </w:r>
          </w:p>
        </w:tc>
        <w:tc>
          <w:tcPr>
            <w:tcW w:type="dxa" w:w="39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100.2% mediated through food/service</w:t>
            </w:r>
          </w:p>
        </w:tc>
        <w:tc>
          <w:tcPr>
            <w:tcW w:type="dxa" w:w="29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Selected for pathway decomposition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IPW / propensity weighting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hijos ATE +0.720; morning-opening HTE +1.476</w:t>
            </w:r>
          </w:p>
        </w:tc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Selected for subgroup effects</w:t>
            </w:r>
          </w:p>
        </w:tc>
      </w:tr>
    </w:tbl>
    <w:p>
      <w:pPr>
        <w:pStyle w:val="Heading2"/>
      </w:pPr>
      <w:r>
        <w:t xml:space="preserve">Selected</w:t>
      </w:r>
    </w:p>
    <w:p>
      <w:r>
        <w:rPr>
          <w:b/>
          <w:bCs/>
        </w:rPr>
        <w:t xml:space="preserve">DoWhy backdoor adjustment as the headline estimator, reported against Shapley attribution, with mediation and IPW-HTE for decomposition.</w:t>
      </w:r>
    </w:p>
    <w:p>
      <w:pPr>
        <w:pStyle w:val="Heading2"/>
      </w:pPr>
      <w:r>
        <w:t xml:space="preserve">Rationale</w:t>
      </w:r>
    </w:p>
    <w:p>
      <w:r>
        <w:t xml:space="preserve">The comparison is the finding. DoWhy's graph-informed estimate for food_rating is 0.549 against a naive correlation of 0.864 — the 0.315 gap is confounding made visible, and it is the number a stakeholder should care about when sizing an investment. Mediation then shows that activity's effect is essentially entirely indirect (100.2%), which changes the intervention from 'increase activity' to 'improve food and service, which activity was proxying for'.</w:t>
      </w:r>
    </w:p>
    <w:p>
      <w:pPr>
        <w:pStyle w:val="Heading1"/>
      </w:pPr>
      <w:r>
        <w:t xml:space="preserve">5. Evaluation</w:t>
      </w:r>
    </w:p>
    <w:p>
      <w:pPr>
        <w:pStyle w:val="Heading2"/>
      </w:pPr>
      <w:r>
        <w:t xml:space="preserve">Strategy</w:t>
      </w:r>
    </w:p>
    <w:p>
      <w:r>
        <w:t xml:space="preserve">No train/test split — this is estimation, not prediction. Validity rests on the declared graph and the backdoor criterion. The correlational baseline serves as the reference point for how much confounding the adjustment removes.</w:t>
      </w:r>
    </w:p>
    <w:p>
      <w:pPr>
        <w:pStyle w:val="Heading2"/>
      </w:pPr>
      <w:r>
        <w:t xml:space="preserve">Baseline</w:t>
      </w:r>
    </w:p>
    <w:p>
      <w:r>
        <w:t xml:space="preserve">Naive Shapley-value attribution on the same data.</w:t>
      </w:r>
    </w:p>
    <w:p>
      <w:pPr>
        <w:pStyle w:val="Heading2"/>
      </w:pPr>
      <w:r>
        <w:t xml:space="preserve">Results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5100"/>
        <w:gridCol w:w="4740"/>
      </w:tblGrid>
      <w:tr>
        <w:trPr>
          <w:tblHeader/>
        </w:trPr>
        <w:tc>
          <w:tcPr>
            <w:tcW w:type="dxa" w:w="51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474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Causal graph</w:t>
            </w:r>
          </w:p>
        </w:tc>
        <w:tc>
          <w:tcPr>
            <w:tcW w:type="dxa" w:w="47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31 nodes, 78 edges, 7 direct treatments, 53 cycles detected</w:t>
            </w:r>
          </w:p>
        </w:tc>
      </w:tr>
      <w:tr>
        <w:tc>
          <w:tcPr>
            <w:tcW w:type="dxa" w:w="51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Shapley — food + service quality</w:t>
            </w:r>
          </w:p>
        </w:tc>
        <w:tc>
          <w:tcPr>
            <w:tcW w:type="dxa" w:w="47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≈84% of treatment attribution</w:t>
            </w:r>
          </w:p>
        </w:tc>
      </w:tr>
      <w:tr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DoWhy — food_rating</w:t>
            </w:r>
          </w:p>
        </w:tc>
        <w:tc>
          <w:tcPr>
            <w:tcW w:type="dxa" w:w="47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0.549 (vs 0.864 naive correlation)</w:t>
            </w:r>
          </w:p>
        </w:tc>
      </w:tr>
      <w:tr>
        <w:tc>
          <w:tcPr>
            <w:tcW w:type="dxa" w:w="51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Mediation — activity</w:t>
            </w:r>
          </w:p>
        </w:tc>
        <w:tc>
          <w:tcPr>
            <w:tcW w:type="dxa" w:w="47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100.2% mediated through food/service quality</w:t>
            </w:r>
          </w:p>
        </w:tc>
      </w:tr>
      <w:tr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IPW ATE — hijos (has children)</w:t>
            </w:r>
          </w:p>
        </w:tc>
        <w:tc>
          <w:tcPr>
            <w:tcW w:type="dxa" w:w="47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+0.720</w:t>
            </w:r>
          </w:p>
        </w:tc>
      </w:tr>
      <w:tr>
        <w:tc>
          <w:tcPr>
            <w:tcW w:type="dxa" w:w="51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Strongest HTE — morning-opening × hijos</w:t>
            </w:r>
          </w:p>
        </w:tc>
        <w:tc>
          <w:tcPr>
            <w:tcW w:type="dxa" w:w="47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+1.476</w:t>
            </w:r>
          </w:p>
        </w:tc>
      </w:tr>
    </w:tbl>
    <w:p>
      <w:pPr>
        <w:pStyle w:val="Heading1"/>
      </w:pPr>
      <w:r>
        <w:t xml:space="preserve">6. As-Built Architecture</w:t>
      </w:r>
    </w:p>
    <w:p>
      <w:pPr>
        <w:pStyle w:val="Heading2"/>
      </w:pPr>
      <w:r>
        <w:t xml:space="preserve">Components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400"/>
        <w:gridCol w:w="2700"/>
        <w:gridCol w:w="4740"/>
      </w:tblGrid>
      <w:tr>
        <w:trPr>
          <w:tblHeader/>
        </w:trPr>
        <w:tc>
          <w:tcPr>
            <w:tcW w:type="dxa" w:w="24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Component</w:t>
            </w:r>
          </w:p>
        </w:tc>
        <w:tc>
          <w:tcPr>
            <w:tcW w:type="dxa" w:w="27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4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Phase 1 — Data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pandas, geopy, scikit-learn</w:t>
            </w:r>
          </w:p>
        </w:tc>
        <w:tc>
          <w:tcPr>
            <w:tcW w:type="dxa" w:w="47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data_pipeline.py: merge, engineer, impute, encode → final_data.pkl</w:t>
            </w:r>
          </w:p>
        </w:tc>
      </w:tr>
      <w:tr>
        <w:tc>
          <w:tcPr>
            <w:tcW w:type="dxa" w:w="24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Phase 2 — Graph</w:t>
            </w:r>
          </w:p>
        </w:tc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networkx, ydata-profiling, BeautifulSoup</w:t>
            </w:r>
          </w:p>
        </w:tc>
        <w:tc>
          <w:tcPr>
            <w:tcW w:type="dxa" w:w="47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causal_graph_module_complete.py: DAG construction, path analysis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Phase 3 — Attribution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DoWhy + custom Shapley</w:t>
            </w:r>
          </w:p>
        </w:tc>
        <w:tc>
          <w:tcPr>
            <w:tcW w:type="dxa" w:w="47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Attribution_analysis_module.py and causal_graph_attribution_module.py</w:t>
            </w:r>
          </w:p>
        </w:tc>
      </w:tr>
      <w:tr>
        <w:tc>
          <w:tcPr>
            <w:tcW w:type="dxa" w:w="24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Phase 4 — Decomposition</w:t>
            </w:r>
          </w:p>
        </w:tc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statsmodels, scikit-learn</w:t>
            </w:r>
          </w:p>
        </w:tc>
        <w:tc>
          <w:tcPr>
            <w:tcW w:type="dxa" w:w="47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mediation_analysis.py (Baron &amp; Kenny), HTE_analysis.py (IPW, 17 pathways)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Artifacts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PNG, CSV, TXT</w:t>
            </w:r>
          </w:p>
        </w:tc>
        <w:tc>
          <w:tcPr>
            <w:tcW w:type="dxa" w:w="47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Reports/ and results/ directories per phase</w:t>
            </w:r>
          </w:p>
        </w:tc>
      </w:tr>
    </w:tbl>
    <w:p>
      <w:pPr>
        <w:pStyle w:val="Heading2"/>
      </w:pPr>
      <w:r>
        <w:t xml:space="preserve">Data flow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9 UCI CSVs → data_pipeline.py → final_data.pkl (31,559 × 52)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final_data.pkl → causal graph construction → causal_graph.png, path summary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graph + data → DoWhy backdoor identification → causal effect estimates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graph + data → Shapley / OLS → correlational baseline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data → mediation and IPW-HTE → mediation_summary.csv, HTE reports</w:t>
      </w:r>
    </w:p>
    <w:p>
      <w:pPr>
        <w:pStyle w:val="Heading1"/>
      </w:pPr>
      <w:r>
        <w:t xml:space="preserve">7. Deployment</w:t>
      </w:r>
    </w:p>
    <w:p>
      <w:pPr>
        <w:pStyle w:val="Heading2"/>
      </w:pPr>
      <w:r>
        <w:t xml:space="preserve">Current state</w:t>
      </w:r>
    </w:p>
    <w:p>
      <w:r>
        <w:t xml:space="preserve">Not deployed. Phase modules are run individually; final_data.pkl is cached so downstream phases do not re-run the merge. pyproject.toml and requirements.txt define the environment.</w:t>
      </w:r>
    </w:p>
    <w:p>
      <w:pPr>
        <w:pStyle w:val="Heading2"/>
      </w:pPr>
      <w:r>
        <w:t xml:space="preserve">Configuration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700"/>
        <w:gridCol w:w="7140"/>
      </w:tblGrid>
      <w:tr>
        <w:trPr>
          <w:tblHeader/>
        </w:trPr>
        <w:tc>
          <w:tcPr>
            <w:tcW w:type="dxa" w:w="27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Setting</w:t>
            </w:r>
          </w:p>
        </w:tc>
        <w:tc>
          <w:tcPr>
            <w:tcW w:type="dxa" w:w="714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Runtime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Python, CPU only</w:t>
            </w:r>
          </w:p>
        </w:tc>
      </w:tr>
      <w:tr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Canonical data source</w:t>
            </w:r>
          </w:p>
        </w:tc>
        <w:tc>
          <w:tcPr>
            <w:tcW w:type="dxa" w:w="71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get_initial_data() in 01_Data_Analysis/data_pipeline.py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Cache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final_data.pkl (9.6 MB)</w:t>
            </w:r>
          </w:p>
        </w:tc>
      </w:tr>
      <w:tr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71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dowhy ≥0.9, networkx, ydata-profiling, geopy, statsmodels</w:t>
            </w:r>
          </w:p>
        </w:tc>
      </w:tr>
    </w:tbl>
    <w:p>
      <w:pPr>
        <w:pStyle w:val="Heading2"/>
      </w:pPr>
      <w:r>
        <w:t xml:space="preserve">Gaps</w:t>
      </w:r>
    </w:p>
    <w:p>
      <w:r>
        <w:t xml:space="preserve">No orchestration across the four phases, no assertion that the cached pickle matches the current pipeline code, and pickle as a cache format is both version-fragile and unsafe to load from an untrusted source.</w:t>
      </w:r>
    </w:p>
    <w:p>
      <w:pPr>
        <w:pStyle w:val="Heading1"/>
      </w:pPr>
      <w:r>
        <w:t xml:space="preserve">8. Monitoring &amp; Observability</w:t>
      </w:r>
    </w:p>
    <w:p>
      <w:pPr>
        <w:pStyle w:val="Heading2"/>
      </w:pPr>
      <w:r>
        <w:t xml:space="preserve">Current state</w:t>
      </w:r>
    </w:p>
    <w:p>
      <w:r>
        <w:t xml:space="preserve">Each phase writes a text report to its Reports/ or results/ directory, so a run leaves an audit trail.</w:t>
      </w:r>
    </w:p>
    <w:p>
      <w:pPr>
        <w:pStyle w:val="Heading2"/>
      </w:pPr>
      <w:r>
        <w:t xml:space="preserve">Gaps</w:t>
      </w:r>
    </w:p>
    <w:p>
      <w:r>
        <w:t xml:space="preserve">No sensitivity analysis to unmeasured confounding, no refutation tests, and no check that the graph's assumptions still hold if the data is refreshed.</w:t>
      </w:r>
    </w:p>
    <w:p>
      <w:pPr>
        <w:pStyle w:val="Heading1"/>
      </w:pPr>
      <w:r>
        <w:t xml:space="preserve">9. Risks &amp; Mitigations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800"/>
        <w:gridCol w:w="1240"/>
        <w:gridCol w:w="4800"/>
      </w:tblGrid>
      <w:tr>
        <w:trPr>
          <w:tblHeader/>
        </w:trPr>
        <w:tc>
          <w:tcPr>
            <w:tcW w:type="dxa" w:w="38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Risk</w:t>
            </w:r>
          </w:p>
        </w:tc>
        <w:tc>
          <w:tcPr>
            <w:tcW w:type="dxa" w:w="124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Severity</w:t>
            </w:r>
          </w:p>
        </w:tc>
        <w:tc>
          <w:tcPr>
            <w:tcW w:type="dxa" w:w="48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causal graph contains 53 cycles and is not a strict DAG, which undermines every identification claim</w:t>
            </w:r>
          </w:p>
        </w:tc>
        <w:tc>
          <w:tcPr>
            <w:tcW w:type="dxa" w:w="1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A83232"/>
                <w:sz w:val="18"/>
                <w:szCs w:val="18"/>
              </w:rPr>
              <w:t xml:space="preserve">High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Disclosed in the README, model card, and this document. Resolving it is the top roadmap item.</w:t>
            </w:r>
          </w:p>
        </w:tc>
      </w:tr>
      <w:tr>
        <w:tc>
          <w:tcPr>
            <w:tcW w:type="dxa" w:w="38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Demographic 'treatments' — height, personality, color preference — have no plausible causal mechanism on ratings</w:t>
            </w:r>
          </w:p>
        </w:tc>
        <w:tc>
          <w:tcPr>
            <w:tcW w:type="dxa" w:w="12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A83232"/>
                <w:sz w:val="18"/>
                <w:szCs w:val="18"/>
              </w:rPr>
              <w:t xml:space="preserve">High</w:t>
            </w:r>
          </w:p>
        </w:tc>
        <w:tc>
          <w:tcPr>
            <w:tcW w:type="dxa" w:w="48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Significant estimates for these are presented as evidence of residual confounding, not as real effects.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Imputation is baked into the cached artifact, so imputed and observed values are indistinguishable downstream</w:t>
            </w:r>
          </w:p>
        </w:tc>
        <w:tc>
          <w:tcPr>
            <w:tcW w:type="dxa" w:w="1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8A4B08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Documented in the data card; adding imputation indicators is a roadmap item.</w:t>
            </w:r>
          </w:p>
        </w:tc>
      </w:tr>
      <w:tr>
        <w:tc>
          <w:tcPr>
            <w:tcW w:type="dxa" w:w="38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Join fan-out silently weights users by their number of payment methods and cuisines</w:t>
            </w:r>
          </w:p>
        </w:tc>
        <w:tc>
          <w:tcPr>
            <w:tcW w:type="dxa" w:w="12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8A4B08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Documented; inverse-frequency weighting is a roadmap item.</w:t>
            </w:r>
          </w:p>
        </w:tc>
      </w:tr>
    </w:tbl>
    <w:p>
      <w:pPr>
        <w:pStyle w:val="Heading1"/>
      </w:pPr>
      <w:r>
        <w:t xml:space="preserve">10. Productionization Roadmap</w:t>
      </w:r>
    </w:p>
    <w:p>
      <w:r>
        <w:t xml:space="preserve">What would be required to run this system for real. P0 items are correctness or safety issues that should be resolved before the work is presented as production-ready; P1 items close the gap to a serviceable deployment; P2 items are maturity improvements. Effort is a rough T-shirt size: S under a day, M a few days, L a week or more.</w:t>
      </w:r>
    </w:p>
    <w:tbl>
      <w:tblPr>
        <w:tblW w:type="dxa" w:w="984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1700"/>
        <w:gridCol w:w="2700"/>
        <w:gridCol w:w="4540"/>
        <w:gridCol w:w="900"/>
      </w:tblGrid>
      <w:tr>
        <w:trPr>
          <w:tblHeader/>
        </w:trPr>
        <w:tc>
          <w:tcPr>
            <w:tcW w:type="dxa" w:w="17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Phase</w:t>
            </w:r>
          </w:p>
        </w:tc>
        <w:tc>
          <w:tcPr>
            <w:tcW w:type="dxa" w:w="27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Gap</w:t>
            </w:r>
          </w:p>
        </w:tc>
        <w:tc>
          <w:tcPr>
            <w:tcW w:type="dxa" w:w="454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7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P0 — Validity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53 cycles in the causal graph</w:t>
            </w:r>
          </w:p>
        </w:tc>
        <w:tc>
          <w:tcPr>
            <w:tcW w:type="dxa" w:w="4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Enumerate the cycles, trace each to the feature-engineering interaction that created it, and either remove the derived node or orient the edge on domain grounds until the graph is acyclic. Re-run DoWhy afterward and report how the estimates move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17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P0 — Validity</w:t>
            </w:r>
          </w:p>
        </w:tc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refutation testing</w:t>
            </w:r>
          </w:p>
        </w:tc>
        <w:tc>
          <w:tcPr>
            <w:tcW w:type="dxa" w:w="45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DoWhy's built-in refuters — placebo treatment, random common cause, data subset — and publish the results next to each estimate</w:t>
            </w:r>
          </w:p>
        </w:tc>
        <w:tc>
          <w:tcPr>
            <w:tcW w:type="dxa" w:w="9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7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P0 — Data integrity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Imputed values indistinguishable from observed</w:t>
            </w:r>
          </w:p>
        </w:tc>
        <w:tc>
          <w:tcPr>
            <w:tcW w:type="dxa" w:w="4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Emit a parallel _was_imputed indicator column per imputed field and include the indicators as covariates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700"/>
            <w:shd w:fill="FFF8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P1 — Estimation</w:t>
            </w:r>
          </w:p>
        </w:tc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Join fan-out distorts implicit weights</w:t>
            </w:r>
          </w:p>
        </w:tc>
        <w:tc>
          <w:tcPr>
            <w:tcW w:type="dxa" w:w="45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Either deduplicate to unique user–restaurant pairs or apply inverse-frequency weights, and compare estimates before and after</w:t>
            </w:r>
          </w:p>
        </w:tc>
        <w:tc>
          <w:tcPr>
            <w:tcW w:type="dxa" w:w="9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700"/>
            <w:shd w:fill="FFF8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P1 — Robustness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sensitivity analysis to unmeasured confounding</w:t>
            </w:r>
          </w:p>
        </w:tc>
        <w:tc>
          <w:tcPr>
            <w:tcW w:type="dxa" w:w="4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E-value or Rosenbaum bounds so each headline effect carries a statement of how strong a hidden confounder would need to be to overturn it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700"/>
            <w:shd w:fill="FFF8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P1 — Reproducibility</w:t>
            </w:r>
          </w:p>
        </w:tc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Pickle cache is version-fragile and unsafe</w:t>
            </w:r>
          </w:p>
        </w:tc>
        <w:tc>
          <w:tcPr>
            <w:tcW w:type="dxa" w:w="45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 to parquet with an explicit schema, and assert a pipeline-code hash matches the cache before use</w:t>
            </w:r>
          </w:p>
        </w:tc>
        <w:tc>
          <w:tcPr>
            <w:tcW w:type="dxa" w:w="9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700"/>
            <w:shd w:fill="F1F8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P2 — Orchestration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Four phases run by hand</w:t>
            </w:r>
          </w:p>
        </w:tc>
        <w:tc>
          <w:tcPr>
            <w:tcW w:type="dxa" w:w="45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Wrap in a single runner with a config file, matching the run_all.py pattern used elsewhere in the portfolio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700"/>
            <w:shd w:fill="F1F8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P2 — Scope</w:t>
            </w:r>
          </w:p>
        </w:tc>
        <w:tc>
          <w:tcPr>
            <w:tcW w:type="dxa" w:w="27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Findings limited to a 2012 Mexican convenience sample</w:t>
            </w:r>
          </w:p>
        </w:tc>
        <w:tc>
          <w:tcPr>
            <w:tcW w:type="dxa" w:w="454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Replicate on a second ratings dataset to test whether the mediation structure holds</w:t>
            </w:r>
          </w:p>
        </w:tc>
        <w:tc>
          <w:tcPr>
            <w:tcW w:type="dxa" w:w="900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</w:tr>
    </w:tbl>
    <w:p>
      <w:pPr>
        <w:pStyle w:val="Heading1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After the cycles are resolved, does food_rating's effect stay near 0.549 or move materially? The current estimate is conditional on a graph that does not satisfy DoWhy's assumptions.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 'activity is 100.2% mediated' a real full-mediation result or an artifact of measurement overlap between activity and the mediators?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Should the demographic treatments be dropped from the analysis entirely rather than reported with caveats?</w:t>
      </w:r>
    </w:p>
    <w:p>
      <w:pPr>
        <w:pStyle w:val="Heading1"/>
      </w:pPr>
      <w:r>
        <w:t xml:space="preserve">12. References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model_cards/model_card.docx · data_cards/data_card.docx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README.md — phase-by-phase method write-up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02_Causal_Graph/Reports/causal_graph.png — the 31-node DAG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595959"/>
        <w:sz w:val="16"/>
        <w:szCs w:val="16"/>
      </w:rPr>
      <w:t xml:space="preserve">Restaurant Rating Causal Attribution — ML Design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3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/>
    </w:pPr>
    <w:rPr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D0D7DE" w:sz="8" w:space="6"/>
      </w:pBdr>
      <w:spacing w:after="150" w:before="38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F5F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2026-08-02T02:06:27.613Z</dcterms:created>
  <dcterms:modified xsi:type="dcterms:W3CDTF">2026-08-02T02:06:27.613Z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