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Model Card</w:t>
      </w:r>
    </w:p>
    <w:p>
      <w:pPr>
        <w:spacing w:after="60"/>
      </w:pPr>
      <w:r>
        <w:rPr>
          <w:b/>
          <w:bCs/>
          <w:sz w:val="26"/>
          <w:szCs w:val="26"/>
        </w:rPr>
        <w:t xml:space="preserve">Restaurant Rating Causal Attribution — DoWhy, Mediation &amp; HTE</w:t>
      </w:r>
    </w:p>
    <w:p>
      <w:pPr>
        <w:pBdr>
          <w:bottom w:val="single" w:color="1F4E79" w:sz="8" w:space="8"/>
        </w:pBdr>
        <w:spacing w:after="300"/>
      </w:pPr>
      <w:r>
        <w:rPr>
          <w:color w:val="595959"/>
          <w:sz w:val="19"/>
          <w:szCs w:val="19"/>
        </w:rPr>
        <w:t xml:space="preserve">Repository: Causal_inference-Case_study   ·   Version 1.0.0   ·   MIT</w:t>
      </w:r>
    </w:p>
    <w:p>
      <w:pPr>
        <w:pStyle w:val="Heading1"/>
      </w:pPr>
      <w:r>
        <w:t xml:space="preserve">Model Details</w:t>
      </w:r>
    </w:p>
    <w:p>
      <w:pPr>
        <w:pStyle w:val="Heading2"/>
      </w:pPr>
      <w:r>
        <w:t xml:space="preserve">Overview</w:t>
      </w:r>
    </w:p>
    <w:p>
      <w:r>
        <w:t xml:space="preserve">Applies causal inference to a restaurant recommendation dataset (31,559 rows x 52 features from 9 merged relational files) to identify what causally drives overall ratings and through which pathways. Constructs a 31-node / 78-edge causal graph, estimates effects via DoWhy backdoor identification against a Shapley-value correlational baseline, then decomposes effects with Baron &amp; Kenny mediation analysis and IPW-based heterogeneous treatment effects across 17 pathways.</w:t>
      </w:r>
    </w:p>
    <w:p>
      <w:pPr>
        <w:pStyle w:val="Heading2"/>
      </w:pPr>
      <w:r>
        <w:t xml:space="preserve">Owners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Ella Ndalla — ndallaella@gmail.com</w:t>
      </w:r>
    </w:p>
    <w:p>
      <w:pPr>
        <w:pStyle w:val="Heading2"/>
      </w:pPr>
      <w:r>
        <w:t xml:space="preserve">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Dataset: UCI Restaurant &amp; Consumer Data (9 CSV files merged to 31,559 x 52) (https://archive.ics.uci.edu/dataset/232/restaurant+consumer+data) — Sensitive data: Contains consumer demographic attributes used directly as treatments — height, personality, color preference, and whether the user has children (hijos). These are person-level characteristics and warrant care in interpretation and reuse.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jd239qkm2lnam4lzaxlgv">
        <w:r>
          <w:rPr>
            <w:rStyle w:val="Hyperlink"/>
            <w:color w:val="0563C1"/>
            <w:u w:val="single"/>
          </w:rPr>
          <w:t xml:space="preserve">https://archive.ics.uci.edu/dataset/232/restaurant+consumer+data</w:t>
        </w:r>
      </w:hyperlink>
    </w:p>
    <w:p>
      <w:pPr>
        <w:pStyle w:val="Heading1"/>
      </w:pPr>
      <w:r>
        <w:t xml:space="preserve">Considerations</w:t>
      </w:r>
    </w:p>
    <w:p>
      <w:pPr>
        <w:pStyle w:val="Heading2"/>
      </w:pPr>
      <w:r>
        <w:t xml:space="preserve">Intended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scientists working on attribution and experimentation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Portfolio reviewers</w:t>
      </w:r>
    </w:p>
    <w:p>
      <w:pPr>
        <w:pStyle w:val="Heading2"/>
      </w:pPr>
      <w:r>
        <w:t xml:space="preserve">Use Cases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Demonstrating how graph-informed causal attribution differs from naive correlation-based attribution.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Methodological reference for mediation analysis and heterogeneous treatment effects.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causal graph contains 53 detected cycles and is therefore NOT a strict DAG. Cycles arise from feature-engineering interactions and are acknowledged, not resolved, in the DoWhy identification step — this weakens every identification claim.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Causal structure is assumed from domain knowledge plus automated correlation profiling; unmeasured confounding is not ruled out.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Observational data only — no randomization or natural experiment supports the backdoor adjustment.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Demographic treatments (height, color preference, personality) are proxies with no plausible direct causal mechanism on restaurant ratings; significant estimates for them should be read as evidence of residual confounding, not as real effects.</w:t>
      </w:r>
    </w:p>
    <w:p>
      <w:pPr>
        <w:pStyle w:val="Heading2"/>
      </w:pPr>
      <w:r>
        <w:t xml:space="preserve">Tradeoffs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DoWhy backdoor estimates are substantially more conservative than naive correlations (food_rating: 0.549 vs. 0.864) — the graph-informed estimate trades apparent effect size for defensibility.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IPW-based HTE gives subgroup detail but inflates variance in small strata.</w:t>
      </w:r>
    </w:p>
    <w:p>
      <w:pPr>
        <w:pStyle w:val="Heading2"/>
      </w:pPr>
      <w:r>
        <w:t xml:space="preserve">Ethical Considerations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 w:val="false"/>
          <w:bCs w:val="false"/>
        </w:rPr>
        <w:t xml:space="preserve">Discriminatory or spurious conclusions if demographic 'treatments' (hijos, height, personality, color) are read as actionable causal levers.</w:t>
      </w:r>
      <w:r>
        <w:rPr>
          <w:b/>
          <w:bCs/>
          <w:color w:val="1F4E79"/>
        </w:rPr>
        <w:br/>
        <w:t xml:space="preserve">  Mitigation: </w:t>
      </w:r>
      <w:r>
        <w:t xml:space="preserve">All demographic effects are reported alongside mediation decomposition showing the substantive effects flow through food and service quality; the cycle-contaminated graph is disclosed.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 w:val="false"/>
          <w:bCs w:val="false"/>
        </w:rPr>
        <w:t xml:space="preserve">Business decisions made on non-identified estimates.</w:t>
      </w:r>
      <w:r>
        <w:rPr>
          <w:b/>
          <w:bCs/>
          <w:color w:val="1F4E79"/>
        </w:rPr>
        <w:br/>
        <w:t xml:space="preserve">  Mitigation: </w:t>
      </w:r>
      <w:r>
        <w:t xml:space="preserve">Naive Shapley attribution is reported side by side with the DoWhy estimate so the confounding gap is visible.</w:t>
      </w:r>
    </w:p>
    <w:p>
      <w:pPr>
        <w:pStyle w:val="Heading1"/>
      </w:pPr>
      <w:r>
        <w:t xml:space="preserve">Quantitative Analysis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Causal graph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31 nodes, 78 edges, 7 direct treatments on rating, 53 cycles detected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Shapley attribution — food + service quality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~84% of treatment attribution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DoWhy causal effect — food_rating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0.549 (vs. 0.864 naive correlation)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Mediation — activity effect through food/service quality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100.2% (fully mediated)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IPW ATE — hijos (has children)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+0.720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Strongest HTE — morning-opening restaurants x hijos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ATE +1.476</w:t>
            </w:r>
          </w:p>
        </w:tc>
      </w:tr>
    </w:tbl>
    <w:p>
      <w:pPr>
        <w:pStyle w:val="Heading1"/>
      </w:pPr>
      <w:r>
        <w:t xml:space="preserve">Citation</w:t>
      </w:r>
    </w:p>
    <w:p>
      <w:r>
        <w:rPr>
          <w:i/>
          <w:iCs/>
        </w:rPr>
        <w:t xml:space="preserve">Ella Ndalla. Restaurant Rating Causal Attribution — DoWhy, Mediation &amp; HTE. GitHub repository: Causal_inference-Case_study.</w:t>
      </w:r>
    </w:p>
    <w:p>
      <w:pPr>
        <w:pBdr>
          <w:top w:val="single" w:color="D0D7DE" w:sz="4" w:space="8"/>
        </w:pBdr>
        <w:spacing w:before="400"/>
      </w:pPr>
      <w:r>
        <w:rPr>
          <w:i/>
          <w:iCs/>
          <w:color w:val="595959"/>
          <w:sz w:val="17"/>
          <w:szCs w:val="17"/>
        </w:rPr>
        <w:t xml:space="preserve">Generated with the TensorFlow Model Card Toolkit (v2.0.0) from Causal_inference-Case_study/model_cards/data/model_card.json.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D0D7DE" w:sz="6" w:space="6"/>
      </w:pBdr>
      <w:spacing w:after="140" w:before="36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F5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d239qkm2lnam4lzaxlgv" Type="http://schemas.openxmlformats.org/officeDocument/2006/relationships/hyperlink" Target="https://archive.ics.uci.edu/dataset/232/restaurant+consumer+dat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2026-08-01T21:57:08.134Z</dcterms:created>
  <dcterms:modified xsi:type="dcterms:W3CDTF">2026-08-01T21:57:08.134Z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