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E2761"/>
          <w:sz w:val="48"/>
          <w:szCs w:val="48"/>
        </w:rPr>
        <w:t xml:space="preserve">BAYESIAN EXPERIMENT FRAMEWORK</w:t>
      </w:r>
    </w:p>
    <w:p>
      <w:pPr>
        <w:spacing w:after="60" w:before="0"/>
        <w:jc w:val="center"/>
      </w:pPr>
      <w:r>
        <w:rPr>
          <w:rFonts w:ascii="Arial" w:cs="Arial" w:eastAsia="Arial" w:hAnsi="Arial"/>
          <w:color w:val="E85D04"/>
          <w:sz w:val="36"/>
          <w:szCs w:val="36"/>
        </w:rPr>
        <w:t xml:space="preserve">Code Alignment Analysis Report</w:t>
      </w:r>
    </w:p>
    <w:p>
      <w:pPr>
        <w:spacing w:after="60" w:before="0"/>
        <w:jc w:val="center"/>
      </w:pPr>
      <w:r>
        <w:rPr>
          <w:rFonts w:ascii="Arial" w:cs="Arial" w:eastAsia="Arial" w:hAnsi="Arial"/>
          <w:i/>
          <w:iCs/>
          <w:color w:val="595959"/>
          <w:sz w:val="28"/>
          <w:szCs w:val="28"/>
        </w:rPr>
        <w:t xml:space="preserve">Design Document vs. Implementation Scripts</w:t>
      </w:r>
    </w:p>
    <w:p>
      <w:pPr>
        <w:pBdr>
          <w:bottom w:val="single" w:color="E85D04" w:sz="6" w:space="1"/>
        </w:pBd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Design Document</w:t>
            </w:r>
          </w:p>
        </w:tc>
        <w:tc>
          <w:tcPr>
            <w:tcW w:type="dxa" w:w="3120"/>
            <w:tcBorders>
              <w:top w:val="single" w:color="CCCCCC" w:sz="1"/>
              <w:left w:val="single" w:color="CCCCCC" w:sz="1"/>
              <w:bottom w:val="single" w:color="CCCCCC" w:sz="1"/>
              <w:right w:val="single" w:color="CCCCCC" w:sz="1"/>
            </w:tcBorders>
            <w:shd w:fill="59595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bayesian_analysis_engine.py</w:t>
            </w:r>
          </w:p>
        </w:tc>
        <w:tc>
          <w:tcPr>
            <w:tcW w:type="dxa" w:w="3120"/>
            <w:tcBorders>
              <w:top w:val="single" w:color="CCCCCC" w:sz="1"/>
              <w:left w:val="single" w:color="CCCCCC" w:sz="1"/>
              <w:bottom w:val="single" w:color="CCCCCC" w:sz="1"/>
              <w:right w:val="single" w:color="CCCCCC" w:sz="1"/>
            </w:tcBorders>
            <w:shd w:fill="E85D0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bayesian_monitoring_system.py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bayesian_ab_test_design.md</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Phase 4 | Causal Inference Engine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Phase 4 | Sequential Monitor</w:t>
            </w:r>
          </w:p>
        </w:tc>
      </w:tr>
    </w:tbl>
    <w:p>
      <w:pPr>
        <w:spacing w:after="60" w:before="60"/>
      </w:pPr>
      <w:r>
        <w:t xml:space="preserve"/>
      </w:r>
    </w:p>
    <w:p>
      <w:pPr>
        <w:spacing w:after="240" w:before="60"/>
        <w:jc w:val="center"/>
      </w:pPr>
      <w:r>
        <w:rPr>
          <w:rFonts w:ascii="Arial" w:cs="Arial" w:eastAsia="Arial" w:hAnsi="Arial"/>
          <w:color w:val="595959"/>
          <w:sz w:val="20"/>
          <w:szCs w:val="20"/>
        </w:rPr>
        <w:t xml:space="preserve">Customer Churn Reduction Portfolio  •  March 2026</w:t>
      </w:r>
    </w:p>
    <w:p>
      <w:pPr>
        <w:pStyle w:val="Heading1"/>
        <w:pageBreakBefore/>
      </w:pPr>
      <w:r>
        <w:rPr>
          <w:rFonts w:ascii="Arial" w:cs="Arial" w:eastAsia="Arial" w:hAnsi="Arial"/>
          <w:b/>
          <w:bCs/>
          <w:color w:val="1E2761"/>
          <w:sz w:val="32"/>
          <w:szCs w:val="32"/>
        </w:rPr>
        <w:t xml:space="preserve">1. Executive Summary</w:t>
      </w:r>
    </w:p>
    <w:p>
      <w:pPr>
        <w:pBdr>
          <w:bottom w:val="single" w:color="1E2761" w:sz="6" w:space="1"/>
        </w:pBdr>
        <w:spacing w:after="60" w:before="60"/>
      </w:pPr>
    </w:p>
    <w:p>
      <w:pPr>
        <w:spacing w:after="80" w:before="80"/>
      </w:pPr>
      <w:r>
        <w:rPr>
          <w:rFonts w:ascii="Arial" w:cs="Arial" w:eastAsia="Arial" w:hAnsi="Arial"/>
          <w:sz w:val="22"/>
          <w:szCs w:val="22"/>
        </w:rPr>
        <w:t xml:space="preserve">This report compares the two Phase 4 Python scripts against the approved Bayesian A/B Test Design document to identify gaps, partial implementations, and fully aligned components.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File</w:t>
            </w:r>
          </w:p>
        </w:tc>
        <w:tc>
          <w:tcPr>
            <w:tcW w:type="dxa" w:w="368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Primary Role</w:t>
            </w:r>
          </w:p>
        </w:tc>
        <w:tc>
          <w:tcPr>
            <w:tcW w:type="dxa" w:w="368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Design Alignment Scope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bayesian_analysis_engine.py</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Phase 2 causal inference engine. Estimates causal effect of add-on services on churn via logistic regression with confounders (age, dependents, partner).</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Not the A/B test engine; serves a different analysis purpose. MCMC settings are partially aligned. Formal A/B decision rules are out of scope for this script.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bayesian_monitoring_system.py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 4 sequential monitoring system. Runs weekly Bayesian updates on experiment arms and applies stopping rules.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Directly comparable to the design document. Several stopping rule thresholds, prior specifications, and adaptive design features require updates.</w:t>
            </w:r>
          </w:p>
        </w:tc>
      </w:tr>
    </w:tbl>
    <w:p>
      <w:pPr>
        <w:spacing w:after="60" w:before="60"/>
      </w:pPr>
      <w:r>
        <w:t xml:space="preserve"/>
      </w:r>
    </w:p>
    <w:p>
      <w:pPr>
        <w:spacing w:after="80" w:before="120"/>
      </w:pPr>
      <w:r>
        <w:rPr>
          <w:rFonts w:ascii="Arial" w:cs="Arial" w:eastAsia="Arial" w:hAnsi="Arial"/>
          <w:b/>
          <w:bCs/>
          <w:sz w:val="22"/>
          <w:szCs w:val="22"/>
        </w:rPr>
        <w:t xml:space="preserve">Overall Alignment Summary:</w:t>
      </w:r>
    </w:p>
    <w:p>
      <w:pPr>
        <w:pStyle w:val="ListParagraph"/>
        <w:numPr>
          <w:ilvl w:val="0"/>
          <w:numId w:val="2"/>
        </w:numPr>
        <w:spacing w:after="40" w:before="40"/>
      </w:pPr>
      <w:r>
        <w:rPr>
          <w:rFonts w:ascii="Arial" w:cs="Arial" w:eastAsia="Arial" w:hAnsi="Arial"/>
          <w:sz w:val="22"/>
          <w:szCs w:val="22"/>
        </w:rPr>
        <w:t xml:space="preserve">bayesian_analysis_engine.py: MCMC hyperparameters mostly aligned. This script fulfils a causal inference role (Phase 2), not the A/B test role (Phase 3/4). Gaps in chains count and formal decision rules apply if it is intended to evolve into an A/B test engine.</w:t>
      </w:r>
    </w:p>
    <w:p>
      <w:pPr>
        <w:pStyle w:val="ListParagraph"/>
        <w:numPr>
          <w:ilvl w:val="0"/>
          <w:numId w:val="2"/>
        </w:numPr>
        <w:spacing w:after="40" w:before="40"/>
      </w:pPr>
      <w:r>
        <w:rPr>
          <w:rFonts w:ascii="Arial" w:cs="Arial" w:eastAsia="Arial" w:hAnsi="Arial"/>
          <w:sz w:val="22"/>
          <w:szCs w:val="22"/>
        </w:rPr>
        <w:t xml:space="preserve">bayesian_monitoring_system.py: Core weekly-update loop is sound, but five high-priority gaps require correction before production use: prior distributions, stopping rule thresholds, baseline churn rate, ROPE, and Thompson Sampling.</w:t>
      </w:r>
    </w:p>
    <w:p>
      <w:pPr>
        <w:pStyle w:val="Heading1"/>
        <w:pageBreakBefore/>
      </w:pPr>
      <w:r>
        <w:rPr>
          <w:rFonts w:ascii="Arial" w:cs="Arial" w:eastAsia="Arial" w:hAnsi="Arial"/>
          <w:b/>
          <w:bCs/>
          <w:color w:val="1E2761"/>
          <w:sz w:val="32"/>
          <w:szCs w:val="32"/>
        </w:rPr>
        <w:t xml:space="preserve">2. bayesian_analysis_engine.py</w:t>
      </w:r>
    </w:p>
    <w:p>
      <w:pPr>
        <w:pBdr>
          <w:bottom w:val="single" w:color="1E2761" w:sz="6" w:space="1"/>
        </w:pBdr>
        <w:spacing w:after="60" w:before="60"/>
      </w:pPr>
    </w:p>
    <w:p>
      <w:pPr>
        <w:pStyle w:val="Heading2"/>
      </w:pPr>
      <w:r>
        <w:rPr>
          <w:rFonts w:ascii="Arial" w:cs="Arial" w:eastAsia="Arial" w:hAnsi="Arial"/>
          <w:b/>
          <w:bCs/>
          <w:color w:val="1E2761"/>
          <w:sz w:val="26"/>
          <w:szCs w:val="26"/>
        </w:rPr>
        <w:t xml:space="preserve">2.1 Purpose and Scope</w:t>
      </w:r>
    </w:p>
    <w:p>
      <w:pPr>
        <w:spacing w:after="80" w:before="80"/>
      </w:pPr>
      <w:r>
        <w:rPr>
          <w:rFonts w:ascii="Arial" w:cs="Arial" w:eastAsia="Arial" w:hAnsi="Arial"/>
          <w:sz w:val="22"/>
          <w:szCs w:val="22"/>
        </w:rPr>
        <w:t xml:space="preserve">This script implements a logistic regression Bayesian causal inference model using PyMC. It is designed to estimate the causal effect of add-on services (OnlineSecurity, OnlineBackup, DeviceProtection, TechSupport) on customer churn, controlling for confounders (SeniorCitizen, Dependents, Partner).</w:t>
      </w:r>
    </w:p>
    <w:p>
      <w:pPr>
        <w:spacing w:after="60" w:before="60"/>
      </w:pPr>
      <w:r>
        <w:t xml:space="preserve"/>
      </w:r>
    </w:p>
    <w:p>
      <w:pPr>
        <w:spacing w:after="80" w:before="80"/>
      </w:pPr>
      <w:r>
        <w:rPr>
          <w:rFonts w:ascii="Arial" w:cs="Arial" w:eastAsia="Arial" w:hAnsi="Arial"/>
          <w:sz w:val="22"/>
          <w:szCs w:val="22"/>
        </w:rPr>
        <w:t xml:space="preserve">The three model types it supports — 'proper_causal', 'naive', and 'collider' — are concepts from causal DAG analysis, not from A/B experimental design. This confirms the script is best classified as a Phase 2 (Causal Validation) tool rather than a Phase 3/4 (Experimental) tool.</w:t>
      </w:r>
    </w:p>
    <w:p>
      <w:pPr>
        <w:pStyle w:val="Heading2"/>
      </w:pPr>
      <w:r>
        <w:rPr>
          <w:rFonts w:ascii="Arial" w:cs="Arial" w:eastAsia="Arial" w:hAnsi="Arial"/>
          <w:b/>
          <w:bCs/>
          <w:color w:val="1E2761"/>
          <w:sz w:val="26"/>
          <w:szCs w:val="26"/>
        </w:rPr>
        <w:t xml:space="preserve">2.2 Aligned Aspects</w:t>
      </w:r>
    </w:p>
    <w:p>
      <w:pPr>
        <w:pStyle w:val="ListParagraph"/>
        <w:numPr>
          <w:ilvl w:val="0"/>
          <w:numId w:val="2"/>
        </w:numPr>
        <w:spacing w:after="40" w:before="40"/>
      </w:pPr>
      <w:r>
        <w:rPr>
          <w:rFonts w:ascii="Arial" w:cs="Arial" w:eastAsia="Arial" w:hAnsi="Arial"/>
          <w:sz w:val="22"/>
          <w:szCs w:val="22"/>
        </w:rPr>
        <w:t xml:space="preserve">MCMC draws = 2000 ✔ (matches design spec)</w:t>
      </w:r>
    </w:p>
    <w:p>
      <w:pPr>
        <w:pStyle w:val="ListParagraph"/>
        <w:numPr>
          <w:ilvl w:val="0"/>
          <w:numId w:val="2"/>
        </w:numPr>
        <w:spacing w:after="40" w:before="40"/>
      </w:pPr>
      <w:r>
        <w:rPr>
          <w:rFonts w:ascii="Arial" w:cs="Arial" w:eastAsia="Arial" w:hAnsi="Arial"/>
          <w:sz w:val="22"/>
          <w:szCs w:val="22"/>
        </w:rPr>
        <w:t xml:space="preserve">MCMC tune = 1000 ✔ (matches design spec)</w:t>
      </w:r>
    </w:p>
    <w:p>
      <w:pPr>
        <w:pStyle w:val="ListParagraph"/>
        <w:numPr>
          <w:ilvl w:val="0"/>
          <w:numId w:val="2"/>
        </w:numPr>
        <w:spacing w:after="40" w:before="40"/>
      </w:pPr>
      <w:r>
        <w:rPr>
          <w:rFonts w:ascii="Arial" w:cs="Arial" w:eastAsia="Arial" w:hAnsi="Arial"/>
          <w:sz w:val="22"/>
          <w:szCs w:val="22"/>
        </w:rPr>
        <w:t xml:space="preserve">target_accept = 0.95 ✔ (matches design spec)</w:t>
      </w:r>
    </w:p>
    <w:p>
      <w:pPr>
        <w:pStyle w:val="ListParagraph"/>
        <w:numPr>
          <w:ilvl w:val="0"/>
          <w:numId w:val="2"/>
        </w:numPr>
        <w:spacing w:after="40" w:before="40"/>
      </w:pPr>
      <w:r>
        <w:rPr>
          <w:rFonts w:ascii="Arial" w:cs="Arial" w:eastAsia="Arial" w:hAnsi="Arial"/>
          <w:sz w:val="22"/>
          <w:szCs w:val="22"/>
        </w:rPr>
        <w:t xml:space="preserve">R-hat, ESS, and MCSE diagnostics fully implemented ✔</w:t>
      </w:r>
    </w:p>
    <w:p>
      <w:pPr>
        <w:pStyle w:val="ListParagraph"/>
        <w:numPr>
          <w:ilvl w:val="0"/>
          <w:numId w:val="2"/>
        </w:numPr>
        <w:spacing w:after="40" w:before="40"/>
      </w:pPr>
      <w:r>
        <w:rPr>
          <w:rFonts w:ascii="Arial" w:cs="Arial" w:eastAsia="Arial" w:hAnsi="Arial"/>
          <w:sz w:val="22"/>
          <w:szCs w:val="22"/>
        </w:rPr>
        <w:t xml:space="preserve">Posterior predictive check with calibration plot ✔</w:t>
      </w:r>
    </w:p>
    <w:p>
      <w:pPr>
        <w:pStyle w:val="ListParagraph"/>
        <w:numPr>
          <w:ilvl w:val="0"/>
          <w:numId w:val="2"/>
        </w:numPr>
        <w:spacing w:after="40" w:before="40"/>
      </w:pPr>
      <w:r>
        <w:rPr>
          <w:rFonts w:ascii="Arial" w:cs="Arial" w:eastAsia="Arial" w:hAnsi="Arial"/>
          <w:sz w:val="22"/>
          <w:szCs w:val="22"/>
        </w:rPr>
        <w:t xml:space="preserve">Output paths managed via config.py fallback ✔</w:t>
      </w:r>
    </w:p>
    <w:p>
      <w:pPr>
        <w:pStyle w:val="ListParagraph"/>
        <w:numPr>
          <w:ilvl w:val="0"/>
          <w:numId w:val="2"/>
        </w:numPr>
        <w:spacing w:after="40" w:before="40"/>
      </w:pPr>
      <w:r>
        <w:rPr>
          <w:rFonts w:ascii="Arial" w:cs="Arial" w:eastAsia="Arial" w:hAnsi="Arial"/>
          <w:sz w:val="22"/>
          <w:szCs w:val="22"/>
        </w:rPr>
        <w:t xml:space="preserve">Comprehensive test suite included ✔</w:t>
      </w:r>
    </w:p>
    <w:p>
      <w:pPr>
        <w:pStyle w:val="Heading2"/>
      </w:pPr>
      <w:r>
        <w:rPr>
          <w:rFonts w:ascii="Arial" w:cs="Arial" w:eastAsia="Arial" w:hAnsi="Arial"/>
          <w:b/>
          <w:bCs/>
          <w:color w:val="1E2761"/>
          <w:sz w:val="26"/>
          <w:szCs w:val="26"/>
        </w:rPr>
        <w:t xml:space="preserve">2.3 Gaps vs. A/B Test Design</w:t>
      </w:r>
    </w:p>
    <w:p>
      <w:pPr>
        <w:pStyle w:val="Heading3"/>
      </w:pPr>
      <w:r>
        <w:rPr>
          <w:rFonts w:ascii="Arial" w:cs="Arial" w:eastAsia="Arial" w:hAnsi="Arial"/>
          <w:b/>
          <w:bCs/>
          <w:color w:val="E85D04"/>
          <w:sz w:val="24"/>
          <w:szCs w:val="24"/>
        </w:rPr>
        <w:t xml:space="preserve">Gap 1: MCMC Chains (Medium Priority)</w:t>
      </w:r>
    </w:p>
    <w:p>
      <w:pPr>
        <w:spacing w:after="80" w:before="80"/>
      </w:pPr>
      <w:r>
        <w:rPr>
          <w:rFonts w:ascii="Arial" w:cs="Arial" w:eastAsia="Arial" w:hAnsi="Arial"/>
          <w:sz w:val="22"/>
          <w:szCs w:val="22"/>
        </w:rPr>
        <w:t xml:space="preserve">fit_model() defaults to chains=2. The design document specifies chains=4 in every model blueprint (Sections 5 and 13). With only 2 chains, R-hat convergence diagnostics are less reliable and parallel sampling efficiency is halved.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Design Spec</w:t>
            </w:r>
          </w:p>
        </w:tc>
        <w:tc>
          <w:tcPr>
            <w:tcW w:type="dxa" w:w="468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Current Code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chains=4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chains=2  →  fit_model(draws=2000, tune=1000, chains=2, ...)</w:t>
            </w:r>
          </w:p>
        </w:tc>
      </w:tr>
    </w:tbl>
    <w:p>
      <w:pPr>
        <w:spacing w:after="60" w:before="60"/>
      </w:pPr>
      <w:r>
        <w:t xml:space="preserve"/>
      </w:r>
    </w:p>
    <w:p>
      <w:pPr>
        <w:pStyle w:val="Heading3"/>
      </w:pPr>
      <w:r>
        <w:rPr>
          <w:rFonts w:ascii="Arial" w:cs="Arial" w:eastAsia="Arial" w:hAnsi="Arial"/>
          <w:b/>
          <w:bCs/>
          <w:color w:val="E85D04"/>
          <w:sz w:val="24"/>
          <w:szCs w:val="24"/>
        </w:rPr>
        <w:t xml:space="preserve">Gap 2: Model Architecture (Context-Dependent)</w:t>
      </w:r>
    </w:p>
    <w:p>
      <w:pPr>
        <w:spacing w:after="80" w:before="80"/>
      </w:pPr>
      <w:r>
        <w:rPr>
          <w:rFonts w:ascii="Arial" w:cs="Arial" w:eastAsia="Arial" w:hAnsi="Arial"/>
          <w:sz w:val="22"/>
          <w:szCs w:val="22"/>
        </w:rPr>
        <w:t xml:space="preserve">The design calls for a hierarchical Beta-Binomial model with hyperpriors, tier-level offsets, and arm-level treatment effects on the logit scale. The engine instead implements flat logistic regression without arm structure. This is expected for its Phase 2 causal purpose, but would need to be redesigned if it is later re-purposed as the Phase 3/4 A/B test engine.</w:t>
      </w:r>
    </w:p>
    <w:p>
      <w:pPr>
        <w:pStyle w:val="Heading3"/>
      </w:pPr>
      <w:r>
        <w:rPr>
          <w:rFonts w:ascii="Arial" w:cs="Arial" w:eastAsia="Arial" w:hAnsi="Arial"/>
          <w:b/>
          <w:bCs/>
          <w:color w:val="E85D04"/>
          <w:sz w:val="24"/>
          <w:szCs w:val="24"/>
        </w:rPr>
        <w:t xml:space="preserve">Gap 3: No Formal Stopping Rules, ROPE, or Thompson Sampling</w:t>
      </w:r>
    </w:p>
    <w:p>
      <w:pPr>
        <w:spacing w:after="80" w:before="80"/>
      </w:pPr>
      <w:r>
        <w:rPr>
          <w:rFonts w:ascii="Arial" w:cs="Arial" w:eastAsia="Arial" w:hAnsi="Arial"/>
          <w:sz w:val="22"/>
          <w:szCs w:val="22"/>
        </w:rPr>
        <w:t xml:space="preserve">The engine contains no implementation of superiority/futility stopping rules, Region of Practical Equivalence (ROPE), or adaptive Thompson Sampling allocation. These are not required for its causal inference role but would be required if the script were extended to serve as the A/B test analysis engine.</w:t>
      </w:r>
    </w:p>
    <w:p>
      <w:pPr>
        <w:pStyle w:val="Heading1"/>
        <w:pageBreakBefore/>
      </w:pPr>
      <w:r>
        <w:rPr>
          <w:rFonts w:ascii="Arial" w:cs="Arial" w:eastAsia="Arial" w:hAnsi="Arial"/>
          <w:b/>
          <w:bCs/>
          <w:color w:val="1E2761"/>
          <w:sz w:val="32"/>
          <w:szCs w:val="32"/>
        </w:rPr>
        <w:t xml:space="preserve">3. bayesian_monitoring_system.py</w:t>
      </w:r>
    </w:p>
    <w:p>
      <w:pPr>
        <w:pBdr>
          <w:bottom w:val="single" w:color="1E2761" w:sz="6" w:space="1"/>
        </w:pBdr>
        <w:spacing w:after="60" w:before="60"/>
      </w:pPr>
    </w:p>
    <w:p>
      <w:pPr>
        <w:pStyle w:val="Heading2"/>
      </w:pPr>
      <w:r>
        <w:rPr>
          <w:rFonts w:ascii="Arial" w:cs="Arial" w:eastAsia="Arial" w:hAnsi="Arial"/>
          <w:b/>
          <w:bCs/>
          <w:color w:val="1E2761"/>
          <w:sz w:val="26"/>
          <w:szCs w:val="26"/>
        </w:rPr>
        <w:t xml:space="preserve">3.1 Purpose and Scope</w:t>
      </w:r>
    </w:p>
    <w:p>
      <w:pPr>
        <w:spacing w:after="80" w:before="80"/>
      </w:pPr>
      <w:r>
        <w:rPr>
          <w:rFonts w:ascii="Arial" w:cs="Arial" w:eastAsia="Arial" w:hAnsi="Arial"/>
          <w:sz w:val="22"/>
          <w:szCs w:val="22"/>
        </w:rPr>
        <w:t xml:space="preserve">This script implements a continuous sequential monitoring system for randomized experiments. It runs weekly Bayesian posterior updates and applies stopping criteria to determine whether to continue, declare a winner, stop for futility, or declare equivalence. This is directly comparable to the experimental design document.</w:t>
      </w:r>
    </w:p>
    <w:p>
      <w:pPr>
        <w:pStyle w:val="Heading2"/>
      </w:pPr>
      <w:r>
        <w:rPr>
          <w:rFonts w:ascii="Arial" w:cs="Arial" w:eastAsia="Arial" w:hAnsi="Arial"/>
          <w:b/>
          <w:bCs/>
          <w:color w:val="1E2761"/>
          <w:sz w:val="26"/>
          <w:szCs w:val="26"/>
        </w:rPr>
        <w:t xml:space="preserve">3.2 Aligned Aspects</w:t>
      </w:r>
    </w:p>
    <w:p>
      <w:pPr>
        <w:pStyle w:val="ListParagraph"/>
        <w:numPr>
          <w:ilvl w:val="0"/>
          <w:numId w:val="2"/>
        </w:numPr>
        <w:spacing w:after="40" w:before="40"/>
      </w:pPr>
      <w:r>
        <w:rPr>
          <w:rFonts w:ascii="Arial" w:cs="Arial" w:eastAsia="Arial" w:hAnsi="Arial"/>
          <w:sz w:val="22"/>
          <w:szCs w:val="22"/>
        </w:rPr>
        <w:t xml:space="preserve">Beta-Binomial model structure for arm-level churn probabilities ✔</w:t>
      </w:r>
    </w:p>
    <w:p>
      <w:pPr>
        <w:pStyle w:val="ListParagraph"/>
        <w:numPr>
          <w:ilvl w:val="0"/>
          <w:numId w:val="2"/>
        </w:numPr>
        <w:spacing w:after="40" w:before="40"/>
      </w:pPr>
      <w:r>
        <w:rPr>
          <w:rFonts w:ascii="Arial" w:cs="Arial" w:eastAsia="Arial" w:hAnsi="Arial"/>
          <w:sz w:val="22"/>
          <w:szCs w:val="22"/>
        </w:rPr>
        <w:t xml:space="preserve">Weekly update cadence (weekly_update() loop) ✔</w:t>
      </w:r>
    </w:p>
    <w:p>
      <w:pPr>
        <w:pStyle w:val="ListParagraph"/>
        <w:numPr>
          <w:ilvl w:val="0"/>
          <w:numId w:val="2"/>
        </w:numPr>
        <w:spacing w:after="40" w:before="40"/>
      </w:pPr>
      <w:r>
        <w:rPr>
          <w:rFonts w:ascii="Arial" w:cs="Arial" w:eastAsia="Arial" w:hAnsi="Arial"/>
          <w:sz w:val="22"/>
          <w:szCs w:val="22"/>
        </w:rPr>
        <w:t xml:space="preserve">MCMC: draws=2000, tune=1000, target_accept=0.95 ✔</w:t>
      </w:r>
    </w:p>
    <w:p>
      <w:pPr>
        <w:pStyle w:val="ListParagraph"/>
        <w:numPr>
          <w:ilvl w:val="0"/>
          <w:numId w:val="2"/>
        </w:numPr>
        <w:spacing w:after="40" w:before="40"/>
      </w:pPr>
      <w:r>
        <w:rPr>
          <w:rFonts w:ascii="Arial" w:cs="Arial" w:eastAsia="Arial" w:hAnsi="Arial"/>
          <w:sz w:val="22"/>
          <w:szCs w:val="22"/>
        </w:rPr>
        <w:t xml:space="preserve">Three stopping decision categories: superiority, futility, equivalence ✔</w:t>
      </w:r>
    </w:p>
    <w:p>
      <w:pPr>
        <w:pStyle w:val="ListParagraph"/>
        <w:numPr>
          <w:ilvl w:val="0"/>
          <w:numId w:val="2"/>
        </w:numPr>
        <w:spacing w:after="40" w:before="40"/>
      </w:pPr>
      <w:r>
        <w:rPr>
          <w:rFonts w:ascii="Arial" w:cs="Arial" w:eastAsia="Arial" w:hAnsi="Arial"/>
          <w:sz w:val="22"/>
          <w:szCs w:val="22"/>
        </w:rPr>
        <w:t xml:space="preserve">Visual convergence tracking over time ✔</w:t>
      </w:r>
    </w:p>
    <w:p>
      <w:pPr>
        <w:pStyle w:val="ListParagraph"/>
        <w:numPr>
          <w:ilvl w:val="0"/>
          <w:numId w:val="2"/>
        </w:numPr>
        <w:spacing w:after="40" w:before="40"/>
      </w:pPr>
      <w:r>
        <w:rPr>
          <w:rFonts w:ascii="Arial" w:cs="Arial" w:eastAsia="Arial" w:hAnsi="Arial"/>
          <w:sz w:val="22"/>
          <w:szCs w:val="22"/>
        </w:rPr>
        <w:t xml:space="preserve">Probability of superiority calculation per arm ✔</w:t>
      </w:r>
    </w:p>
    <w:p>
      <w:pPr>
        <w:pStyle w:val="ListParagraph"/>
        <w:numPr>
          <w:ilvl w:val="0"/>
          <w:numId w:val="2"/>
        </w:numPr>
        <w:spacing w:after="40" w:before="40"/>
      </w:pPr>
      <w:r>
        <w:rPr>
          <w:rFonts w:ascii="Arial" w:cs="Arial" w:eastAsia="Arial" w:hAnsi="Arial"/>
          <w:sz w:val="22"/>
          <w:szCs w:val="22"/>
        </w:rPr>
        <w:t xml:space="preserve">Final experiment report generation ✔</w:t>
      </w:r>
    </w:p>
    <w:p>
      <w:pPr>
        <w:pStyle w:val="Heading2"/>
      </w:pPr>
      <w:r>
        <w:rPr>
          <w:rFonts w:ascii="Arial" w:cs="Arial" w:eastAsia="Arial" w:hAnsi="Arial"/>
          <w:b/>
          <w:bCs/>
          <w:color w:val="1E2761"/>
          <w:sz w:val="26"/>
          <w:szCs w:val="26"/>
        </w:rPr>
        <w:t xml:space="preserve">3.3 Gaps vs. Design Document</w:t>
      </w:r>
    </w:p>
    <w:p>
      <w:pPr>
        <w:pStyle w:val="Heading3"/>
      </w:pPr>
      <w:r>
        <w:rPr>
          <w:rFonts w:ascii="Arial" w:cs="Arial" w:eastAsia="Arial" w:hAnsi="Arial"/>
          <w:b/>
          <w:bCs/>
          <w:color w:val="E85D04"/>
          <w:sz w:val="24"/>
          <w:szCs w:val="24"/>
        </w:rPr>
        <w:t xml:space="preserve">Gap 1: Incorrect Bayesian Priors (HIGH PRIORITY)</w:t>
      </w:r>
    </w:p>
    <w:p>
      <w:pPr>
        <w:spacing w:after="80" w:before="80"/>
      </w:pPr>
      <w:r>
        <w:rPr>
          <w:rFonts w:ascii="Arial" w:cs="Arial" w:eastAsia="Arial" w:hAnsi="Arial"/>
          <w:sz w:val="22"/>
          <w:szCs w:val="22"/>
        </w:rPr>
        <w:t xml:space="preserve">The treatment priors are Beta(2, 2) — a flat, uninformative distribution that assigns equal probability to all churn rates from 0% to 100%. The design document specifies informed treatment priors that encode expected reductions based on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Arm</w:t>
            </w:r>
          </w:p>
        </w:tc>
        <w:tc>
          <w:tcPr>
            <w:tcW w:type="dxa" w:w="234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Design Prior</w:t>
            </w:r>
          </w:p>
        </w:tc>
        <w:tc>
          <w:tcPr>
            <w:tcW w:type="dxa" w:w="234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Code Prior</w:t>
            </w:r>
          </w:p>
        </w:tc>
        <w:tc>
          <w:tcPr>
            <w:tcW w:type="dxa" w:w="234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Implied Rate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Control (Test 1)</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Beta(3, 8) ≈ 27%</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Beta(6.09, 3.91) [dynamic formula]</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≈61% (old rate!)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Beta(2, 9) ≈18%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Beta(2, 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 (flat)</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T2</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Beta(2, 12) ≈14%</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Beta(2, 2)</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≈50% (flat)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Beta(1, 9) ≈10%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Beta(2, 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 (flat)</w:t>
            </w:r>
          </w:p>
        </w:tc>
      </w:tr>
    </w:tbl>
    <w:p>
      <w:pPr>
        <w:spacing w:after="60" w:before="60"/>
      </w:pPr>
      <w:r>
        <w:t xml:space="preserve"/>
      </w:r>
    </w:p>
    <w:p>
      <w:pPr>
        <w:spacing w:after="80" w:before="80"/>
      </w:pPr>
      <w:r>
        <w:rPr>
          <w:rFonts w:ascii="Arial" w:cs="Arial" w:eastAsia="Arial" w:hAnsi="Arial"/>
          <w:sz w:val="22"/>
          <w:szCs w:val="22"/>
        </w:rPr>
        <w:t xml:space="preserve">Additionally, the demo hardcodes baseline_rate=0.609, which corresponds to the old high-risk-subset baseline (~61%). Per BAYESIAN_TEST_DESIGN_UPDATES.md, the correct full-dataset baseline is 26.5%. This inflates the control prior and will produce biased posterior estimates during monitoring.</w:t>
      </w:r>
    </w:p>
    <w:p>
      <w:pPr>
        <w:pStyle w:val="Heading3"/>
      </w:pPr>
      <w:r>
        <w:rPr>
          <w:rFonts w:ascii="Arial" w:cs="Arial" w:eastAsia="Arial" w:hAnsi="Arial"/>
          <w:b/>
          <w:bCs/>
          <w:color w:val="E85D04"/>
          <w:sz w:val="24"/>
          <w:szCs w:val="24"/>
        </w:rPr>
        <w:t xml:space="preserve">Gap 2: MCMC Chains = 2 Instead of 4 (MEDIUM PRIORITY)</w:t>
      </w:r>
    </w:p>
    <w:p>
      <w:pPr>
        <w:spacing w:after="80" w:before="80"/>
      </w:pPr>
      <w:r>
        <w:rPr>
          <w:rFonts w:ascii="Arial" w:cs="Arial" w:eastAsia="Arial" w:hAnsi="Arial"/>
          <w:sz w:val="22"/>
          <w:szCs w:val="22"/>
        </w:rPr>
        <w:t xml:space="preserve">The _fit_bayesian_model() method calls pm.sample(2000, tune=1000, chains=2, ...). The design specifies chains=4 throughout. Two chains are insufficient for robust R-hat diagnostics and reduce sampling efficiency.</w:t>
      </w:r>
    </w:p>
    <w:p>
      <w:pPr>
        <w:pStyle w:val="Heading3"/>
      </w:pPr>
      <w:r>
        <w:rPr>
          <w:rFonts w:ascii="Arial" w:cs="Arial" w:eastAsia="Arial" w:hAnsi="Arial"/>
          <w:b/>
          <w:bCs/>
          <w:color w:val="E85D04"/>
          <w:sz w:val="24"/>
          <w:szCs w:val="24"/>
        </w:rPr>
        <w:t xml:space="preserve">Gap 3: Superiority Threshold Too Low (HIGH PRIORITY)</w:t>
      </w:r>
    </w:p>
    <w:p>
      <w:pPr>
        <w:spacing w:after="80" w:before="80"/>
      </w:pPr>
      <w:r>
        <w:rPr>
          <w:rFonts w:ascii="Arial" w:cs="Arial" w:eastAsia="Arial" w:hAnsi="Arial"/>
          <w:sz w:val="22"/>
          <w:szCs w:val="22"/>
        </w:rPr>
        <w:t xml:space="preserve">The stopping rule triggers at P(improvement &gt; 10%) &gt; 0.90. The design document's check_superiority() function specifies superiority_threshold=0.95 and min_effect=0.08. Both values differ from the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312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Design Spec</w:t>
            </w:r>
          </w:p>
        </w:tc>
        <w:tc>
          <w:tcPr>
            <w:tcW w:type="dxa" w:w="312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Code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Superiority probability threshold</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0.95 (95%)</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0.90 (90%) — will stop 5% early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Minimum effect size to declare winner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0.08 (8 percentage points)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0.10 (10 pp) — may miss valid winners</w:t>
            </w:r>
          </w:p>
        </w:tc>
      </w:tr>
    </w:tbl>
    <w:p>
      <w:pPr>
        <w:spacing w:after="60" w:before="60"/>
      </w:pPr>
      <w:r>
        <w:t xml:space="preserve"/>
      </w:r>
    </w:p>
    <w:p>
      <w:pPr>
        <w:pStyle w:val="Heading3"/>
      </w:pPr>
      <w:r>
        <w:rPr>
          <w:rFonts w:ascii="Arial" w:cs="Arial" w:eastAsia="Arial" w:hAnsi="Arial"/>
          <w:b/>
          <w:bCs/>
          <w:color w:val="E85D04"/>
          <w:sz w:val="24"/>
          <w:szCs w:val="24"/>
        </w:rPr>
        <w:t xml:space="preserve">Gap 4: Futility Threshold 4x Too Lenient (HIGH PRIORITY)</w:t>
      </w:r>
    </w:p>
    <w:p>
      <w:pPr>
        <w:spacing w:after="80" w:before="80"/>
      </w:pPr>
      <w:r>
        <w:rPr>
          <w:rFonts w:ascii="Arial" w:cs="Arial" w:eastAsia="Arial" w:hAnsi="Arial"/>
          <w:sz w:val="22"/>
          <w:szCs w:val="22"/>
        </w:rPr>
        <w:t xml:space="preserve">The futility check stops when max_prob_helps &lt; 0.20 (20%). The design specifies futility_threshold=0.05 (5%). With the code's threshold at 0.20, treatments are abandoned far too aggressively — any arm with less than a 20% chance of beating control (even if it has a 15% chance) would be stopped, wasting potentially recoverable interventions.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Design Spec (check_futility)</w:t>
            </w:r>
          </w:p>
        </w:tc>
        <w:tc>
          <w:tcPr>
            <w:tcW w:type="dxa" w:w="468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Code (_check_stopping_rules)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Stop if P(treatment better) &lt; 0.05</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Stop if max_prob_helps &lt; 0.20</w:t>
            </w:r>
          </w:p>
        </w:tc>
      </w:tr>
    </w:tbl>
    <w:p>
      <w:pPr>
        <w:spacing w:after="60" w:before="60"/>
      </w:pPr>
      <w:r>
        <w:t xml:space="preserve"/>
      </w:r>
    </w:p>
    <w:p>
      <w:pPr>
        <w:pStyle w:val="Heading3"/>
      </w:pPr>
      <w:r>
        <w:rPr>
          <w:rFonts w:ascii="Arial" w:cs="Arial" w:eastAsia="Arial" w:hAnsi="Arial"/>
          <w:b/>
          <w:bCs/>
          <w:color w:val="E85D04"/>
          <w:sz w:val="24"/>
          <w:szCs w:val="24"/>
        </w:rPr>
        <w:t xml:space="preserve">Gap 5: ROPE Not Implemented (MEDIUM PRIORITY)</w:t>
      </w:r>
    </w:p>
    <w:p>
      <w:pPr>
        <w:spacing w:after="80" w:before="80"/>
      </w:pPr>
      <w:r>
        <w:rPr>
          <w:rFonts w:ascii="Arial" w:cs="Arial" w:eastAsia="Arial" w:hAnsi="Arial"/>
          <w:sz w:val="22"/>
          <w:szCs w:val="22"/>
        </w:rPr>
        <w:t xml:space="preserve">The design specifies a Region of Practical Equivalence check (bounds = -0.02 to +0.02). If P(effect within ROPE) &gt; 0.95, treatments are considered practically equivalent. The monitoring script has no ROPE logic. This is important for distinguishing 'no evidence of effect' from 'evidence of no practically meaningful effect.'</w:t>
      </w:r>
    </w:p>
    <w:p>
      <w:pPr>
        <w:pStyle w:val="Heading3"/>
      </w:pPr>
      <w:r>
        <w:rPr>
          <w:rFonts w:ascii="Arial" w:cs="Arial" w:eastAsia="Arial" w:hAnsi="Arial"/>
          <w:b/>
          <w:bCs/>
          <w:color w:val="E85D04"/>
          <w:sz w:val="24"/>
          <w:szCs w:val="24"/>
        </w:rPr>
        <w:t xml:space="preserve">Gap 6: Thompson Sampling Not Implemented (MEDIUM PRIORITY)</w:t>
      </w:r>
    </w:p>
    <w:p>
      <w:pPr>
        <w:spacing w:after="80" w:before="80"/>
      </w:pPr>
      <w:r>
        <w:rPr>
          <w:rFonts w:ascii="Arial" w:cs="Arial" w:eastAsia="Arial" w:hAnsi="Arial"/>
          <w:sz w:val="22"/>
          <w:szCs w:val="22"/>
        </w:rPr>
        <w:t xml:space="preserve">The design document (Section 7) specifies that after the initial balanced allocation period, new customers should be assigned via Thompson Sampling: sample once from each arm's posterior, allocate to the arm with the lowest sampled churn rate. The monitoring system has no adaptive allocation mechanism. The demo runs a fixed 50-customers-per-arm-per-week schedule throughout.</w:t>
      </w:r>
    </w:p>
    <w:p>
      <w:pPr>
        <w:pStyle w:val="Heading3"/>
      </w:pPr>
      <w:r>
        <w:rPr>
          <w:rFonts w:ascii="Arial" w:cs="Arial" w:eastAsia="Arial" w:hAnsi="Arial"/>
          <w:b/>
          <w:bCs/>
          <w:color w:val="E85D04"/>
          <w:sz w:val="24"/>
          <w:szCs w:val="24"/>
        </w:rPr>
        <w:t xml:space="preserve">Gap 7: Hardcoded Output Path (LOW PRIORITY)</w:t>
      </w:r>
    </w:p>
    <w:p>
      <w:pPr>
        <w:spacing w:after="80" w:before="80"/>
      </w:pPr>
      <w:r>
        <w:rPr>
          <w:rFonts w:ascii="Arial" w:cs="Arial" w:eastAsia="Arial" w:hAnsi="Arial"/>
          <w:sz w:val="22"/>
          <w:szCs w:val="22"/>
        </w:rPr>
        <w:t xml:space="preserve">The _plot_weekly_update() and _plot_convergence() methods save to '/mnt/user-data/outputs/', a hardcoded legacy path. The analysis engine uses config.py for path management. The monitoring system should adopt the same pattern for consistency and portability.</w:t>
      </w:r>
    </w:p>
    <w:p>
      <w:pPr>
        <w:pStyle w:val="Heading3"/>
      </w:pPr>
      <w:r>
        <w:rPr>
          <w:rFonts w:ascii="Arial" w:cs="Arial" w:eastAsia="Arial" w:hAnsi="Arial"/>
          <w:b/>
          <w:bCs/>
          <w:color w:val="E85D04"/>
          <w:sz w:val="24"/>
          <w:szCs w:val="24"/>
        </w:rPr>
        <w:t xml:space="preserve">Gap 8: Minimum Sample Size (LOW PRIORITY)</w:t>
      </w:r>
    </w:p>
    <w:p>
      <w:pPr>
        <w:spacing w:after="80" w:before="80"/>
      </w:pPr>
      <w:r>
        <w:rPr>
          <w:rFonts w:ascii="Arial" w:cs="Arial" w:eastAsia="Arial" w:hAnsi="Arial"/>
          <w:sz w:val="22"/>
          <w:szCs w:val="22"/>
        </w:rPr>
        <w:t xml:space="preserve">The superiority check requires only &gt;= 50 observations per arm before it can declare a winner. The design's recommended sample sizes are 200/arm (Test 1), 125/arm (Test 2), and 150/arm (Test 3). Declaring superiority at n=50 is statistically premature and risks false positives.</w:t>
      </w:r>
    </w:p>
    <w:p>
      <w:pPr>
        <w:pStyle w:val="Heading1"/>
        <w:pageBreakBefore/>
      </w:pPr>
      <w:r>
        <w:rPr>
          <w:rFonts w:ascii="Arial" w:cs="Arial" w:eastAsia="Arial" w:hAnsi="Arial"/>
          <w:b/>
          <w:bCs/>
          <w:color w:val="1E2761"/>
          <w:sz w:val="32"/>
          <w:szCs w:val="32"/>
        </w:rPr>
        <w:t xml:space="preserve">4. Master Alignment Comparison Table</w:t>
      </w:r>
    </w:p>
    <w:p>
      <w:pPr>
        <w:pBdr>
          <w:bottom w:val="single" w:color="1E2761" w:sz="6" w:space="1"/>
        </w:pBdr>
        <w:spacing w:after="60" w:before="60"/>
      </w:pPr>
    </w:p>
    <w:p>
      <w:pPr>
        <w:spacing w:after="60" w:before="60"/>
      </w:pPr>
      <w:r>
        <w:rPr>
          <w:rFonts w:ascii="Arial" w:cs="Arial" w:eastAsia="Arial" w:hAnsi="Arial"/>
          <w:i/>
          <w:iCs/>
          <w:color w:val="595959"/>
          <w:sz w:val="20"/>
          <w:szCs w:val="20"/>
        </w:rPr>
        <w:t xml:space="preserve">Legend:  ALIGNED = matches design spec exactly   |   PARTIAL = partly implemented   |   GAP = missing or incorrect   |   N/A = out of scope for this script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700"/>
        <w:gridCol w:w="820"/>
        <w:gridCol w:w="1700"/>
        <w:gridCol w:w="940"/>
      </w:tblGrid>
      <w:tr>
        <w:trPr>
          <w:tblHeader/>
        </w:trPr>
        <w:tc>
          <w:tcPr>
            <w:tcW w:type="dxa" w:w="20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Feature / Criterion</w:t>
            </w:r>
          </w:p>
        </w:tc>
        <w:tc>
          <w:tcPr>
            <w:tcW w:type="dxa" w:w="22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Design Document Spec</w:t>
            </w:r>
          </w:p>
        </w:tc>
        <w:tc>
          <w:tcPr>
            <w:tcW w:type="dxa" w:w="1700"/>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bayesian_analysis_engine.py</w:t>
            </w:r>
          </w:p>
        </w:tc>
        <w:tc>
          <w:tcPr>
            <w:tcW w:type="dxa" w:w="820"/>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w:t>
            </w:r>
          </w:p>
        </w:tc>
        <w:tc>
          <w:tcPr>
            <w:tcW w:type="dxa" w:w="1700"/>
            <w:tcBorders>
              <w:top w:val="single" w:color="CCCCCC" w:sz="1"/>
              <w:left w:val="single" w:color="CCCCCC" w:sz="1"/>
              <w:bottom w:val="single" w:color="CCCCCC" w:sz="1"/>
              <w:right w:val="single" w:color="CCCCCC" w:sz="1"/>
            </w:tcBorders>
            <w:shd w:fill="E85D0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bayesian_monitoring_system.py</w:t>
            </w:r>
          </w:p>
        </w:tc>
        <w:tc>
          <w:tcPr>
            <w:tcW w:type="dxa" w:w="940"/>
            <w:tcBorders>
              <w:top w:val="single" w:color="CCCCCC" w:sz="1"/>
              <w:left w:val="single" w:color="CCCCCC" w:sz="1"/>
              <w:bottom w:val="single" w:color="CCCCCC" w:sz="1"/>
              <w:right w:val="single" w:color="CCCCCC" w:sz="1"/>
            </w:tcBorders>
            <w:shd w:fill="E85D0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Model Architecture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Hierarchical Beta-Binomial with hyperpriors on logit scale + tier effects + treatment effects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Logistic regression (observational); Normal priors on logit scale — designed for Phase 2 causal analysis</w:t>
            </w:r>
          </w:p>
        </w:tc>
        <w:tc>
          <w:tcPr>
            <w:tcW w:type="dxa" w:w="820"/>
            <w:tcBorders>
              <w:top w:val="single" w:color="CCCCCC" w:sz="1"/>
              <w:left w:val="single" w:color="CCCCCC" w:sz="1"/>
              <w:bottom w:val="single" w:color="CCCCCC" w:sz="1"/>
              <w:right w:val="single" w:color="CCCCCC" w:sz="1"/>
            </w:tcBorders>
            <w:shd w:fill="59595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N/A</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Beta-Binomial per arm with dynamic Beta priors</w:t>
            </w:r>
          </w:p>
        </w:tc>
        <w:tc>
          <w:tcPr>
            <w:tcW w:type="dxa" w:w="940"/>
            <w:tcBorders>
              <w:top w:val="single" w:color="CCCCCC" w:sz="1"/>
              <w:left w:val="single" w:color="CCCCCC" w:sz="1"/>
              <w:bottom w:val="single" w:color="CCCCCC" w:sz="1"/>
              <w:right w:val="single" w:color="CCCCCC" w:sz="1"/>
            </w:tcBorders>
            <w:shd w:fill="BF8F00"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PARTIAL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Prior: Control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Beta(α=3, β=8) ≈ 27% churn (Test 1)
Beta(7.5, 2.5) ≈ 75% churn (Test 2)</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alpha Normal(0, 2) on logit scale (non-informative)</w:t>
            </w:r>
          </w:p>
        </w:tc>
        <w:tc>
          <w:tcPr>
            <w:tcW w:type="dxa" w:w="820"/>
            <w:tcBorders>
              <w:top w:val="single" w:color="CCCCCC" w:sz="1"/>
              <w:left w:val="single" w:color="CCCCCC" w:sz="1"/>
              <w:bottom w:val="single" w:color="CCCCCC" w:sz="1"/>
              <w:right w:val="single" w:color="CCCCCC" w:sz="1"/>
            </w:tcBorders>
            <w:shd w:fill="59595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N/A</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Dynamic: Beta(rate×10, (1−rate)×10); demo uses baseline=0.609 → Beta(6.09, 3.91) — OLD high-risk rate</w:t>
            </w:r>
          </w:p>
        </w:tc>
        <w:tc>
          <w:tcPr>
            <w:tcW w:type="dxa" w:w="94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GAP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Prior: Treatments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Beta(2,9) ≈18%, Beta(2,12) ≈14%, Beta(1,9) ≈10% (Test 1)
Beta(6.5,3.5), Beta(6,4), Beta(5.5,4.5) (Test 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Normal(-0.1, 0.5) on logit scale for beta_addon</w:t>
            </w:r>
          </w:p>
        </w:tc>
        <w:tc>
          <w:tcPr>
            <w:tcW w:type="dxa" w:w="820"/>
            <w:tcBorders>
              <w:top w:val="single" w:color="CCCCCC" w:sz="1"/>
              <w:left w:val="single" w:color="CCCCCC" w:sz="1"/>
              <w:bottom w:val="single" w:color="CCCCCC" w:sz="1"/>
              <w:right w:val="single" w:color="CCCCCC" w:sz="1"/>
            </w:tcBorders>
            <w:shd w:fill="59595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N/A</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Beta(2, 2) — flat/uninformative (no informed treatment priors)</w:t>
            </w:r>
          </w:p>
        </w:tc>
        <w:tc>
          <w:tcPr>
            <w:tcW w:type="dxa" w:w="94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GAP</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MCMC: Chains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chains=4</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chains=2 (default in fit_model())</w:t>
            </w:r>
          </w:p>
        </w:tc>
        <w:tc>
          <w:tcPr>
            <w:tcW w:type="dxa" w:w="82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GAP</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chains=2</w:t>
            </w:r>
          </w:p>
        </w:tc>
        <w:tc>
          <w:tcPr>
            <w:tcW w:type="dxa" w:w="94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GAP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MCMC: Draws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draws=2000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draws=2000 ✔</w:t>
            </w:r>
          </w:p>
        </w:tc>
        <w:tc>
          <w:tcPr>
            <w:tcW w:type="dxa" w:w="82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ALIGNED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draws=2000 ✔</w:t>
            </w:r>
          </w:p>
        </w:tc>
        <w:tc>
          <w:tcPr>
            <w:tcW w:type="dxa" w:w="94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ALIGNED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MCMC: Tune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tune=1000</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tune=1000 ✔</w:t>
            </w:r>
          </w:p>
        </w:tc>
        <w:tc>
          <w:tcPr>
            <w:tcW w:type="dxa" w:w="82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ALIGNED</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tune=1000 ✔</w:t>
            </w:r>
          </w:p>
        </w:tc>
        <w:tc>
          <w:tcPr>
            <w:tcW w:type="dxa" w:w="94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ALIGNED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MCMC: target_accept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target_accept=0.95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target_accept=0.95 ✔</w:t>
            </w:r>
          </w:p>
        </w:tc>
        <w:tc>
          <w:tcPr>
            <w:tcW w:type="dxa" w:w="82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ALIGNED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target_accept=0.95 ✔</w:t>
            </w:r>
          </w:p>
        </w:tc>
        <w:tc>
          <w:tcPr>
            <w:tcW w:type="dxa" w:w="94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ALIGNED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Superiority Rule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P(θ_treatment &lt; θ_control − 0.08) &gt; 0.95</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Uses P(beta_addon &lt; 0) and P(beta_addon &lt; −0.1) as informal thresholds; no formal rule</w:t>
            </w:r>
          </w:p>
        </w:tc>
        <w:tc>
          <w:tcPr>
            <w:tcW w:type="dxa" w:w="820"/>
            <w:tcBorders>
              <w:top w:val="single" w:color="CCCCCC" w:sz="1"/>
              <w:left w:val="single" w:color="CCCCCC" w:sz="1"/>
              <w:bottom w:val="single" w:color="CCCCCC" w:sz="1"/>
              <w:right w:val="single" w:color="CCCCCC" w:sz="1"/>
            </w:tcBorders>
            <w:shd w:fill="59595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N/A</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best_prob &gt; 0.90 AND effect &gt; 0.10 (threshold too low; effect cut-off too high)</w:t>
            </w:r>
          </w:p>
        </w:tc>
        <w:tc>
          <w:tcPr>
            <w:tcW w:type="dxa" w:w="94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GAP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Futility Rule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P(treatment better than control) &lt; 0.05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implemented</w:t>
            </w:r>
          </w:p>
        </w:tc>
        <w:tc>
          <w:tcPr>
            <w:tcW w:type="dxa" w:w="820"/>
            <w:tcBorders>
              <w:top w:val="single" w:color="CCCCCC" w:sz="1"/>
              <w:left w:val="single" w:color="CCCCCC" w:sz="1"/>
              <w:bottom w:val="single" w:color="CCCCCC" w:sz="1"/>
              <w:right w:val="single" w:color="CCCCCC" w:sz="1"/>
            </w:tcBorders>
            <w:shd w:fill="59595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N/A</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max_prob_helps &lt; 0.20 at week ≥ 6 (4× too lenient)</w:t>
            </w:r>
          </w:p>
        </w:tc>
        <w:tc>
          <w:tcPr>
            <w:tcW w:type="dxa" w:w="94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GAP</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ROPE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Bounds (−0.02, +0.02); P(in ROPE) &gt; 0.95 → equivalent</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Not implemented</w:t>
            </w:r>
          </w:p>
        </w:tc>
        <w:tc>
          <w:tcPr>
            <w:tcW w:type="dxa" w:w="820"/>
            <w:tcBorders>
              <w:top w:val="single" w:color="CCCCCC" w:sz="1"/>
              <w:left w:val="single" w:color="CCCCCC" w:sz="1"/>
              <w:bottom w:val="single" w:color="CCCCCC" w:sz="1"/>
              <w:right w:val="single" w:color="CCCCCC" w:sz="1"/>
            </w:tcBorders>
            <w:shd w:fill="59595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N/A</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Not implemented</w:t>
            </w:r>
          </w:p>
        </w:tc>
        <w:tc>
          <w:tcPr>
            <w:tcW w:type="dxa" w:w="94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GAP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Thompson Sampling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Adaptive allocation post-baseline; allocate new customers to best-performing arm</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implemented</w:t>
            </w:r>
          </w:p>
        </w:tc>
        <w:tc>
          <w:tcPr>
            <w:tcW w:type="dxa" w:w="820"/>
            <w:tcBorders>
              <w:top w:val="single" w:color="CCCCCC" w:sz="1"/>
              <w:left w:val="single" w:color="CCCCCC" w:sz="1"/>
              <w:bottom w:val="single" w:color="CCCCCC" w:sz="1"/>
              <w:right w:val="single" w:color="CCCCCC" w:sz="1"/>
            </w:tcBorders>
            <w:shd w:fill="59595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N/A</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implemented</w:t>
            </w:r>
          </w:p>
        </w:tc>
        <w:tc>
          <w:tcPr>
            <w:tcW w:type="dxa" w:w="94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GAP</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Decision Threshold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DECISION_THRESHOLD = 0.90 (POS); EV &gt; $50/customer</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Uses informal probability statements only</w:t>
            </w:r>
          </w:p>
        </w:tc>
        <w:tc>
          <w:tcPr>
            <w:tcW w:type="dxa" w:w="820"/>
            <w:tcBorders>
              <w:top w:val="single" w:color="CCCCCC" w:sz="1"/>
              <w:left w:val="single" w:color="CCCCCC" w:sz="1"/>
              <w:bottom w:val="single" w:color="CCCCCC" w:sz="1"/>
              <w:right w:val="single" w:color="CCCCCC" w:sz="1"/>
            </w:tcBorders>
            <w:shd w:fill="59595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N/A</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0.90 probability check (matched), but no EV calculation</w:t>
            </w:r>
          </w:p>
        </w:tc>
        <w:tc>
          <w:tcPr>
            <w:tcW w:type="dxa" w:w="940"/>
            <w:tcBorders>
              <w:top w:val="single" w:color="CCCCCC" w:sz="1"/>
              <w:left w:val="single" w:color="CCCCCC" w:sz="1"/>
              <w:bottom w:val="single" w:color="CCCCCC" w:sz="1"/>
              <w:right w:val="single" w:color="CCCCCC" w:sz="1"/>
            </w:tcBorders>
            <w:shd w:fill="BF8F00"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PARTIAL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Hierarchical Structure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Population hyperpriors; tier-level offsets; arm-level treatment effects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Flat logistic regression only</w:t>
            </w:r>
          </w:p>
        </w:tc>
        <w:tc>
          <w:tcPr>
            <w:tcW w:type="dxa" w:w="820"/>
            <w:tcBorders>
              <w:top w:val="single" w:color="CCCCCC" w:sz="1"/>
              <w:left w:val="single" w:color="CCCCCC" w:sz="1"/>
              <w:bottom w:val="single" w:color="CCCCCC" w:sz="1"/>
              <w:right w:val="single" w:color="CCCCCC" w:sz="1"/>
            </w:tcBorders>
            <w:shd w:fill="59595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N/A</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Flat per-arm Beta-Binomial (no tiers, no hierarchy)</w:t>
            </w:r>
          </w:p>
        </w:tc>
        <w:tc>
          <w:tcPr>
            <w:tcW w:type="dxa" w:w="94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GAP</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Convergence Diagnostics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R-hat &lt; 1.05; ESS &gt; 400; MCSE reporting</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Full: R-hat, ESS, MCSE checked ✔</w:t>
            </w:r>
          </w:p>
        </w:tc>
        <w:tc>
          <w:tcPr>
            <w:tcW w:type="dxa" w:w="82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ALIGNED</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Implicit (no explicit diagnostics printed)</w:t>
            </w:r>
          </w:p>
        </w:tc>
        <w:tc>
          <w:tcPr>
            <w:tcW w:type="dxa" w:w="940"/>
            <w:tcBorders>
              <w:top w:val="single" w:color="CCCCCC" w:sz="1"/>
              <w:left w:val="single" w:color="CCCCCC" w:sz="1"/>
              <w:bottom w:val="single" w:color="CCCCCC" w:sz="1"/>
              <w:right w:val="single" w:color="CCCCCC" w:sz="1"/>
            </w:tcBorders>
            <w:shd w:fill="BF8F00"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PARTIAL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Posterior Predictive Check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Recommended (Section 11 risk mitig.)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Fully implemented: calibration + dist. plots ✔</w:t>
            </w:r>
          </w:p>
        </w:tc>
        <w:tc>
          <w:tcPr>
            <w:tcW w:type="dxa" w:w="82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ALIGNED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implemented</w:t>
            </w:r>
          </w:p>
        </w:tc>
        <w:tc>
          <w:tcPr>
            <w:tcW w:type="dxa" w:w="94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GAP</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Weekly Monitoring Cadence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Weekly posterior updates (Section 14)</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N/A — batch analysis tool</w:t>
            </w:r>
          </w:p>
        </w:tc>
        <w:tc>
          <w:tcPr>
            <w:tcW w:type="dxa" w:w="820"/>
            <w:tcBorders>
              <w:top w:val="single" w:color="CCCCCC" w:sz="1"/>
              <w:left w:val="single" w:color="CCCCCC" w:sz="1"/>
              <w:bottom w:val="single" w:color="CCCCCC" w:sz="1"/>
              <w:right w:val="single" w:color="CCCCCC" w:sz="1"/>
            </w:tcBorders>
            <w:shd w:fill="59595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N/A</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weekly_update() loop fully implemented ✔</w:t>
            </w:r>
          </w:p>
        </w:tc>
        <w:tc>
          <w:tcPr>
            <w:tcW w:type="dxa" w:w="94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ALIGNED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Output File Paths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config.py-managed paths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Uses config.py with fallback ✔</w:t>
            </w:r>
          </w:p>
        </w:tc>
        <w:tc>
          <w:tcPr>
            <w:tcW w:type="dxa" w:w="82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ALIGNED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Hardcoded /mnt/user-data/outputs/ (legacy path)</w:t>
            </w:r>
          </w:p>
        </w:tc>
        <w:tc>
          <w:tcPr>
            <w:tcW w:type="dxa" w:w="94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GAP</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Baseline Churn Rate Used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26.5% (full-dataset, BAYESIAN_TEST_DESIGN_UPDATES.md)</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Determined from data dynamically</w:t>
            </w:r>
          </w:p>
        </w:tc>
        <w:tc>
          <w:tcPr>
            <w:tcW w:type="dxa" w:w="82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ALIGNED</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Demo hardcoded at 0.609 (old high-risk subset)</w:t>
            </w:r>
          </w:p>
        </w:tc>
        <w:tc>
          <w:tcPr>
            <w:tcW w:type="dxa" w:w="94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GAP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Minimum Sample per Arm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 (Test 1), 125 (Test 2), 150 (Test 3)</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N/A</w:t>
            </w:r>
          </w:p>
        </w:tc>
        <w:tc>
          <w:tcPr>
            <w:tcW w:type="dxa" w:w="820"/>
            <w:tcBorders>
              <w:top w:val="single" w:color="CCCCCC" w:sz="1"/>
              <w:left w:val="single" w:color="CCCCCC" w:sz="1"/>
              <w:bottom w:val="single" w:color="CCCCCC" w:sz="1"/>
              <w:right w:val="single" w:color="CCCCCC" w:sz="1"/>
            </w:tcBorders>
            <w:shd w:fill="59595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N/A</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Requires only &gt;= 50 per arm for superiority decision</w:t>
            </w:r>
          </w:p>
        </w:tc>
        <w:tc>
          <w:tcPr>
            <w:tcW w:type="dxa" w:w="940"/>
            <w:tcBorders>
              <w:top w:val="single" w:color="CCCCCC" w:sz="1"/>
              <w:left w:val="single" w:color="CCCCCC" w:sz="1"/>
              <w:bottom w:val="single" w:color="CCCCCC" w:sz="1"/>
              <w:right w:val="single" w:color="CCCCCC" w:sz="1"/>
            </w:tcBorders>
            <w:shd w:fill="BF8F00"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PARTIAL</w:t>
            </w:r>
          </w:p>
        </w:tc>
      </w:tr>
    </w:tbl>
    <w:p>
      <w:pPr>
        <w:pStyle w:val="Heading1"/>
        <w:pageBreakBefore/>
      </w:pPr>
      <w:r>
        <w:rPr>
          <w:rFonts w:ascii="Arial" w:cs="Arial" w:eastAsia="Arial" w:hAnsi="Arial"/>
          <w:b/>
          <w:bCs/>
          <w:color w:val="1E2761"/>
          <w:sz w:val="32"/>
          <w:szCs w:val="32"/>
        </w:rPr>
        <w:t xml:space="preserve">5. Prioritised Recommendations</w:t>
      </w:r>
    </w:p>
    <w:p>
      <w:pPr>
        <w:pBdr>
          <w:bottom w:val="single" w:color="1E2761" w:sz="6" w:space="1"/>
        </w:pBd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400"/>
        <w:gridCol w:w="1400"/>
        <w:gridCol w:w="1400"/>
        <w:gridCol w:w="2040"/>
      </w:tblGrid>
      <w:tr>
        <w:trPr>
          <w:tblHeader/>
        </w:trPr>
        <w:tc>
          <w:tcPr>
            <w:tcW w:type="dxa" w:w="312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1400"/>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Analysis Engine</w:t>
            </w:r>
          </w:p>
        </w:tc>
        <w:tc>
          <w:tcPr>
            <w:tcW w:type="dxa" w:w="1400"/>
            <w:tcBorders>
              <w:top w:val="single" w:color="CCCCCC" w:sz="1"/>
              <w:left w:val="single" w:color="CCCCCC" w:sz="1"/>
              <w:bottom w:val="single" w:color="CCCCCC" w:sz="1"/>
              <w:right w:val="single" w:color="CCCCCC" w:sz="1"/>
            </w:tcBorders>
            <w:shd w:fill="E85D0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Monitoring System</w:t>
            </w:r>
          </w:p>
        </w:tc>
        <w:tc>
          <w:tcPr>
            <w:tcW w:type="dxa" w:w="1400"/>
            <w:tcBorders>
              <w:top w:val="single" w:color="CCCCCC" w:sz="1"/>
              <w:left w:val="single" w:color="CCCCCC" w:sz="1"/>
              <w:bottom w:val="single" w:color="CCCCCC" w:sz="1"/>
              <w:right w:val="single" w:color="CCCCCC" w:sz="1"/>
            </w:tcBorders>
            <w:shd w:fill="59595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c>
          <w:tcPr>
            <w:tcW w:type="dxa" w:w="20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Recommendation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Model Priors</w:t>
            </w:r>
          </w:p>
        </w:tc>
        <w:tc>
          <w:tcPr>
            <w:tcW w:type="dxa" w:w="1400"/>
            <w:tcBorders>
              <w:top w:val="single" w:color="CCCCCC" w:sz="1"/>
              <w:left w:val="single" w:color="CCCCCC" w:sz="1"/>
              <w:bottom w:val="single" w:color="CCCCCC" w:sz="1"/>
              <w:right w:val="single" w:color="CCCCCC" w:sz="1"/>
            </w:tcBorders>
            <w:shd w:fill="59595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w:t>
            </w:r>
          </w:p>
        </w:tc>
        <w:tc>
          <w:tcPr>
            <w:tcW w:type="dxa" w:w="14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GAP</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High</w:t>
            </w:r>
          </w:p>
        </w:tc>
        <w:tc>
          <w:tcPr>
            <w:tcW w:type="dxa" w:w="2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Update to Beta(3,8) control; Beta(2,9/12), Beta(1,9) treatments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MCMC Chains</w:t>
            </w:r>
          </w:p>
        </w:tc>
        <w:tc>
          <w:tcPr>
            <w:tcW w:type="dxa" w:w="14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GAP</w:t>
            </w:r>
          </w:p>
        </w:tc>
        <w:tc>
          <w:tcPr>
            <w:tcW w:type="dxa" w:w="14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GAP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Medium</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Change chains=2 to chains=4 in both scripts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Stopping Rules (Superiority)</w:t>
            </w:r>
          </w:p>
        </w:tc>
        <w:tc>
          <w:tcPr>
            <w:tcW w:type="dxa" w:w="1400"/>
            <w:tcBorders>
              <w:top w:val="single" w:color="CCCCCC" w:sz="1"/>
              <w:left w:val="single" w:color="CCCCCC" w:sz="1"/>
              <w:bottom w:val="single" w:color="CCCCCC" w:sz="1"/>
              <w:right w:val="single" w:color="CCCCCC" w:sz="1"/>
            </w:tcBorders>
            <w:shd w:fill="59595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w:t>
            </w:r>
          </w:p>
        </w:tc>
        <w:tc>
          <w:tcPr>
            <w:tcW w:type="dxa" w:w="14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GAP</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High</w:t>
            </w:r>
          </w:p>
        </w:tc>
        <w:tc>
          <w:tcPr>
            <w:tcW w:type="dxa" w:w="2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Change threshold to 0.95; min_effect to 0.08</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Stopping Rules (Futility)</w:t>
            </w:r>
          </w:p>
        </w:tc>
        <w:tc>
          <w:tcPr>
            <w:tcW w:type="dxa" w:w="1400"/>
            <w:tcBorders>
              <w:top w:val="single" w:color="CCCCCC" w:sz="1"/>
              <w:left w:val="single" w:color="CCCCCC" w:sz="1"/>
              <w:bottom w:val="single" w:color="CCCCCC" w:sz="1"/>
              <w:right w:val="single" w:color="CCCCCC" w:sz="1"/>
            </w:tcBorders>
            <w:shd w:fill="59595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w:t>
            </w:r>
          </w:p>
        </w:tc>
        <w:tc>
          <w:tcPr>
            <w:tcW w:type="dxa" w:w="14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GAP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High</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Change futility threshold from 0.20 to 0.05</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ROPE Implementation</w:t>
            </w:r>
          </w:p>
        </w:tc>
        <w:tc>
          <w:tcPr>
            <w:tcW w:type="dxa" w:w="1400"/>
            <w:tcBorders>
              <w:top w:val="single" w:color="CCCCCC" w:sz="1"/>
              <w:left w:val="single" w:color="CCCCCC" w:sz="1"/>
              <w:bottom w:val="single" w:color="CCCCCC" w:sz="1"/>
              <w:right w:val="single" w:color="CCCCCC" w:sz="1"/>
            </w:tcBorders>
            <w:shd w:fill="59595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w:t>
            </w:r>
          </w:p>
        </w:tc>
        <w:tc>
          <w:tcPr>
            <w:tcW w:type="dxa" w:w="14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GAP</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Medium</w:t>
            </w:r>
          </w:p>
        </w:tc>
        <w:tc>
          <w:tcPr>
            <w:tcW w:type="dxa" w:w="2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Add ROPE check: bounds=(-0.02, 0.02)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Thompson Sampling</w:t>
            </w:r>
          </w:p>
        </w:tc>
        <w:tc>
          <w:tcPr>
            <w:tcW w:type="dxa" w:w="1400"/>
            <w:tcBorders>
              <w:top w:val="single" w:color="CCCCCC" w:sz="1"/>
              <w:left w:val="single" w:color="CCCCCC" w:sz="1"/>
              <w:bottom w:val="single" w:color="CCCCCC" w:sz="1"/>
              <w:right w:val="single" w:color="CCCCCC" w:sz="1"/>
            </w:tcBorders>
            <w:shd w:fill="59595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w:t>
            </w:r>
          </w:p>
        </w:tc>
        <w:tc>
          <w:tcPr>
            <w:tcW w:type="dxa" w:w="14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GAP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Medium</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Add adaptive allocation post-baseline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Baseline Churn Rate</w:t>
            </w:r>
          </w:p>
        </w:tc>
        <w:tc>
          <w:tcPr>
            <w:tcW w:type="dxa" w:w="14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ALIGNED</w:t>
            </w:r>
          </w:p>
        </w:tc>
        <w:tc>
          <w:tcPr>
            <w:tcW w:type="dxa" w:w="14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GAP</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High</w:t>
            </w:r>
          </w:p>
        </w:tc>
        <w:tc>
          <w:tcPr>
            <w:tcW w:type="dxa" w:w="2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Update demo: baseline_rate=0.265 (not 0.609)</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Output Paths</w:t>
            </w:r>
          </w:p>
        </w:tc>
        <w:tc>
          <w:tcPr>
            <w:tcW w:type="dxa" w:w="14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ALIGNED</w:t>
            </w:r>
          </w:p>
        </w:tc>
        <w:tc>
          <w:tcPr>
            <w:tcW w:type="dxa" w:w="14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GAP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Low</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Replace hardcoded /mnt/user-data/outputs/ with config.py pattern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Convergence Diagnostics</w:t>
            </w:r>
          </w:p>
        </w:tc>
        <w:tc>
          <w:tcPr>
            <w:tcW w:type="dxa" w:w="14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ALIGNED</w:t>
            </w:r>
          </w:p>
        </w:tc>
        <w:tc>
          <w:tcPr>
            <w:tcW w:type="dxa" w:w="1400"/>
            <w:tcBorders>
              <w:top w:val="single" w:color="CCCCCC" w:sz="1"/>
              <w:left w:val="single" w:color="CCCCCC" w:sz="1"/>
              <w:bottom w:val="single" w:color="CCCCCC" w:sz="1"/>
              <w:right w:val="single" w:color="CCCCCC" w:sz="1"/>
            </w:tcBorders>
            <w:shd w:fill="BF8F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PARTIAL</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Low</w:t>
            </w:r>
          </w:p>
        </w:tc>
        <w:tc>
          <w:tcPr>
            <w:tcW w:type="dxa" w:w="2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Add explicit R-hat / ESS check in _fit_bayesian_model()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MCMC Draws / Tune / Target Accept</w:t>
            </w:r>
          </w:p>
        </w:tc>
        <w:tc>
          <w:tcPr>
            <w:tcW w:type="dxa" w:w="14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ALIGNED</w:t>
            </w:r>
          </w:p>
        </w:tc>
        <w:tc>
          <w:tcPr>
            <w:tcW w:type="dxa" w:w="14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ALIGNED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 changes needed</w:t>
            </w:r>
          </w:p>
        </w:tc>
      </w:tr>
    </w:tbl>
    <w:p>
      <w:pPr>
        <w:spacing w:after="60" w:before="60"/>
      </w:pPr>
      <w:r>
        <w:t xml:space="preserve"/>
      </w:r>
    </w:p>
    <w:p>
      <w:pPr>
        <w:pStyle w:val="Heading2"/>
      </w:pPr>
      <w:r>
        <w:rPr>
          <w:rFonts w:ascii="Arial" w:cs="Arial" w:eastAsia="Arial" w:hAnsi="Arial"/>
          <w:b/>
          <w:bCs/>
          <w:color w:val="1E2761"/>
          <w:sz w:val="26"/>
          <w:szCs w:val="26"/>
        </w:rPr>
        <w:t xml:space="preserve">5.1 High-Priority Fixes (Before Production Use)</w:t>
      </w:r>
    </w:p>
    <w:p>
      <w:pPr>
        <w:pStyle w:val="ListParagraph"/>
        <w:numPr>
          <w:ilvl w:val="0"/>
          <w:numId w:val="2"/>
        </w:numPr>
        <w:spacing w:after="40" w:before="40"/>
      </w:pPr>
      <w:r>
        <w:rPr>
          <w:rFonts w:ascii="Arial" w:cs="Arial" w:eastAsia="Arial" w:hAnsi="Arial"/>
          <w:sz w:val="22"/>
          <w:szCs w:val="22"/>
        </w:rPr>
        <w:t xml:space="preserve">bayesian_monitoring_system.py: Update control prior from dynamic formula to Beta(3, 8) for Test 1 and Beta(7.5, 2.5) for Test 2 (from design Section 2).</w:t>
      </w:r>
    </w:p>
    <w:p>
      <w:pPr>
        <w:pStyle w:val="ListParagraph"/>
        <w:numPr>
          <w:ilvl w:val="0"/>
          <w:numId w:val="2"/>
        </w:numPr>
        <w:spacing w:after="40" w:before="40"/>
      </w:pPr>
      <w:r>
        <w:rPr>
          <w:rFonts w:ascii="Arial" w:cs="Arial" w:eastAsia="Arial" w:hAnsi="Arial"/>
          <w:sz w:val="22"/>
          <w:szCs w:val="22"/>
        </w:rPr>
        <w:t xml:space="preserve">bayesian_monitoring_system.py: Update treatment priors from Beta(2,2) to Beta(2,9), Beta(2,12), Beta(1,9) for Test 1 arms.</w:t>
      </w:r>
    </w:p>
    <w:p>
      <w:pPr>
        <w:pStyle w:val="ListParagraph"/>
        <w:numPr>
          <w:ilvl w:val="0"/>
          <w:numId w:val="2"/>
        </w:numPr>
        <w:spacing w:after="40" w:before="40"/>
      </w:pPr>
      <w:r>
        <w:rPr>
          <w:rFonts w:ascii="Arial" w:cs="Arial" w:eastAsia="Arial" w:hAnsi="Arial"/>
          <w:sz w:val="22"/>
          <w:szCs w:val="22"/>
        </w:rPr>
        <w:t xml:space="preserve">bayesian_monitoring_system.py: Change superiority threshold from 0.90 to 0.95 and min_effect from 0.10 to 0.08.</w:t>
      </w:r>
    </w:p>
    <w:p>
      <w:pPr>
        <w:pStyle w:val="ListParagraph"/>
        <w:numPr>
          <w:ilvl w:val="0"/>
          <w:numId w:val="2"/>
        </w:numPr>
        <w:spacing w:after="40" w:before="40"/>
      </w:pPr>
      <w:r>
        <w:rPr>
          <w:rFonts w:ascii="Arial" w:cs="Arial" w:eastAsia="Arial" w:hAnsi="Arial"/>
          <w:sz w:val="22"/>
          <w:szCs w:val="22"/>
        </w:rPr>
        <w:t xml:space="preserve">bayesian_monitoring_system.py: Change futility threshold from 0.20 to 0.05.</w:t>
      </w:r>
    </w:p>
    <w:p>
      <w:pPr>
        <w:pStyle w:val="ListParagraph"/>
        <w:numPr>
          <w:ilvl w:val="0"/>
          <w:numId w:val="2"/>
        </w:numPr>
        <w:spacing w:after="40" w:before="40"/>
      </w:pPr>
      <w:r>
        <w:rPr>
          <w:rFonts w:ascii="Arial" w:cs="Arial" w:eastAsia="Arial" w:hAnsi="Arial"/>
          <w:sz w:val="22"/>
          <w:szCs w:val="22"/>
        </w:rPr>
        <w:t xml:space="preserve">bayesian_monitoring_system.py: Update demo baseline_rate from 0.609 to 0.265 (full-dataset baseline per BAYESIAN_TEST_DESIGN_UPDATES.md).</w:t>
      </w:r>
    </w:p>
    <w:p>
      <w:pPr>
        <w:pStyle w:val="Heading2"/>
      </w:pPr>
      <w:r>
        <w:rPr>
          <w:rFonts w:ascii="Arial" w:cs="Arial" w:eastAsia="Arial" w:hAnsi="Arial"/>
          <w:b/>
          <w:bCs/>
          <w:color w:val="1E2761"/>
          <w:sz w:val="26"/>
          <w:szCs w:val="26"/>
        </w:rPr>
        <w:t xml:space="preserve">5.2 Medium-Priority Fixes</w:t>
      </w:r>
    </w:p>
    <w:p>
      <w:pPr>
        <w:pStyle w:val="ListParagraph"/>
        <w:numPr>
          <w:ilvl w:val="0"/>
          <w:numId w:val="2"/>
        </w:numPr>
        <w:spacing w:after="40" w:before="40"/>
      </w:pPr>
      <w:r>
        <w:rPr>
          <w:rFonts w:ascii="Arial" w:cs="Arial" w:eastAsia="Arial" w:hAnsi="Arial"/>
          <w:sz w:val="22"/>
          <w:szCs w:val="22"/>
        </w:rPr>
        <w:t xml:space="preserve">Both scripts: Update chains=2 to chains=4.</w:t>
      </w:r>
    </w:p>
    <w:p>
      <w:pPr>
        <w:pStyle w:val="ListParagraph"/>
        <w:numPr>
          <w:ilvl w:val="0"/>
          <w:numId w:val="2"/>
        </w:numPr>
        <w:spacing w:after="40" w:before="40"/>
      </w:pPr>
      <w:r>
        <w:rPr>
          <w:rFonts w:ascii="Arial" w:cs="Arial" w:eastAsia="Arial" w:hAnsi="Arial"/>
          <w:sz w:val="22"/>
          <w:szCs w:val="22"/>
        </w:rPr>
        <w:t xml:space="preserve">bayesian_monitoring_system.py: Add ROPE check with bounds=(-0.02, 0.02); declare equivalence if P(effect in ROPE) &gt; 0.95.</w:t>
      </w:r>
    </w:p>
    <w:p>
      <w:pPr>
        <w:pStyle w:val="ListParagraph"/>
        <w:numPr>
          <w:ilvl w:val="0"/>
          <w:numId w:val="2"/>
        </w:numPr>
        <w:spacing w:after="40" w:before="40"/>
      </w:pPr>
      <w:r>
        <w:rPr>
          <w:rFonts w:ascii="Arial" w:cs="Arial" w:eastAsia="Arial" w:hAnsi="Arial"/>
          <w:sz w:val="22"/>
          <w:szCs w:val="22"/>
        </w:rPr>
        <w:t xml:space="preserve">bayesian_monitoring_system.py: Implement Thompson Sampling allocation for post-baseline adaptive assignment.</w:t>
      </w:r>
    </w:p>
    <w:p>
      <w:pPr>
        <w:pStyle w:val="Heading2"/>
      </w:pPr>
      <w:r>
        <w:rPr>
          <w:rFonts w:ascii="Arial" w:cs="Arial" w:eastAsia="Arial" w:hAnsi="Arial"/>
          <w:b/>
          <w:bCs/>
          <w:color w:val="1E2761"/>
          <w:sz w:val="26"/>
          <w:szCs w:val="26"/>
        </w:rPr>
        <w:t xml:space="preserve">5.3 Low-Priority Improvements</w:t>
      </w:r>
    </w:p>
    <w:p>
      <w:pPr>
        <w:pStyle w:val="ListParagraph"/>
        <w:numPr>
          <w:ilvl w:val="0"/>
          <w:numId w:val="2"/>
        </w:numPr>
        <w:spacing w:after="40" w:before="40"/>
      </w:pPr>
      <w:r>
        <w:rPr>
          <w:rFonts w:ascii="Arial" w:cs="Arial" w:eastAsia="Arial" w:hAnsi="Arial"/>
          <w:sz w:val="22"/>
          <w:szCs w:val="22"/>
        </w:rPr>
        <w:t xml:space="preserve">bayesian_monitoring_system.py: Replace hardcoded /mnt/user-data/outputs/ with config.py path management.</w:t>
      </w:r>
    </w:p>
    <w:p>
      <w:pPr>
        <w:pStyle w:val="ListParagraph"/>
        <w:numPr>
          <w:ilvl w:val="0"/>
          <w:numId w:val="2"/>
        </w:numPr>
        <w:spacing w:after="40" w:before="40"/>
      </w:pPr>
      <w:r>
        <w:rPr>
          <w:rFonts w:ascii="Arial" w:cs="Arial" w:eastAsia="Arial" w:hAnsi="Arial"/>
          <w:sz w:val="22"/>
          <w:szCs w:val="22"/>
        </w:rPr>
        <w:t xml:space="preserve">bayesian_monitoring_system.py: Raise minimum sample requirement for superiority declaration from 50 to 125-200 per arm.</w:t>
      </w:r>
    </w:p>
    <w:p>
      <w:pPr>
        <w:pStyle w:val="ListParagraph"/>
        <w:numPr>
          <w:ilvl w:val="0"/>
          <w:numId w:val="2"/>
        </w:numPr>
        <w:spacing w:after="40" w:before="40"/>
      </w:pPr>
      <w:r>
        <w:rPr>
          <w:rFonts w:ascii="Arial" w:cs="Arial" w:eastAsia="Arial" w:hAnsi="Arial"/>
          <w:sz w:val="22"/>
          <w:szCs w:val="22"/>
        </w:rPr>
        <w:t xml:space="preserve">bayesian_monitoring_system.py: Add explicit R-hat and ESS diagnostic output after each weekly model fit.</w:t>
      </w:r>
    </w:p>
    <w:p>
      <w:pPr>
        <w:pStyle w:val="Heading1"/>
        <w:pageBreakBefore/>
      </w:pPr>
      <w:r>
        <w:rPr>
          <w:rFonts w:ascii="Arial" w:cs="Arial" w:eastAsia="Arial" w:hAnsi="Arial"/>
          <w:b/>
          <w:bCs/>
          <w:color w:val="1E2761"/>
          <w:sz w:val="32"/>
          <w:szCs w:val="32"/>
        </w:rPr>
        <w:t xml:space="preserve">6. Conclusion</w:t>
      </w:r>
    </w:p>
    <w:p>
      <w:pPr>
        <w:pBdr>
          <w:bottom w:val="single" w:color="1E2761" w:sz="6" w:space="1"/>
        </w:pBdr>
        <w:spacing w:after="60" w:before="60"/>
      </w:pPr>
    </w:p>
    <w:p>
      <w:pPr>
        <w:spacing w:after="80" w:before="80"/>
      </w:pPr>
      <w:r>
        <w:rPr>
          <w:rFonts w:ascii="Arial" w:cs="Arial" w:eastAsia="Arial" w:hAnsi="Arial"/>
          <w:sz w:val="22"/>
          <w:szCs w:val="22"/>
        </w:rPr>
        <w:t xml:space="preserve">bayesian_analysis_engine.py is well-implemented for its intended Phase 2 causal inference purpose. Its MCMC hyperparameters (draws, tune, target_accept) and diagnostic tooling are solid. The only cross-cutting gap is the chains=2 setting. It should not be expected to match the A/B experimental design directly, since it serves a fundamentally different modelling objective.</w:t>
      </w:r>
    </w:p>
    <w:p>
      <w:pPr>
        <w:spacing w:after="60" w:before="60"/>
      </w:pPr>
      <w:r>
        <w:t xml:space="preserve"/>
      </w:r>
    </w:p>
    <w:p>
      <w:pPr>
        <w:spacing w:after="80" w:before="80"/>
      </w:pPr>
      <w:r>
        <w:rPr>
          <w:rFonts w:ascii="Arial" w:cs="Arial" w:eastAsia="Arial" w:hAnsi="Arial"/>
          <w:sz w:val="22"/>
          <w:szCs w:val="22"/>
        </w:rPr>
        <w:t xml:space="preserve">bayesian_monitoring_system.py has the correct structural skeleton: a Beta-Binomial model with weekly updates and three stopping categories. However, five high-priority numerical discrepancies (prior parameters, stopping thresholds, and baseline rate) mean it will produce materially different decisions than the design document intends. These should be corrected before any live experiment monitoring begins.</w:t>
      </w:r>
    </w:p>
    <w:p>
      <w:pPr>
        <w:spacing w:after="60" w:before="60"/>
      </w:pPr>
      <w:r>
        <w:t xml:space="preserve"/>
      </w:r>
    </w:p>
    <w:p>
      <w:pPr>
        <w:spacing w:after="80" w:before="80"/>
      </w:pPr>
      <w:r>
        <w:rPr>
          <w:rFonts w:ascii="Arial" w:cs="Arial" w:eastAsia="Arial" w:hAnsi="Arial"/>
          <w:sz w:val="22"/>
          <w:szCs w:val="22"/>
        </w:rPr>
        <w:t xml:space="preserve">The two medium-priority gaps — ROPE and Thompson Sampling — represent features that differentiate a portfolio-grade Bayesian monitoring system from a standard frequentist sequential test. Adding them would bring the implementation into full alignment with the design document and significantly strengthen the portfolio's technical depth.</w:t>
      </w:r>
    </w:p>
    <w:p>
      <w:pPr>
        <w:spacing w:after="60" w:before="60"/>
      </w:pPr>
      <w:r>
        <w:t xml:space="preserve"/>
      </w:r>
    </w:p>
    <w:p>
      <w:pPr>
        <w:pBdr>
          <w:bottom w:val="single" w:color="E85D04" w:sz="6" w:space="1"/>
        </w:pBdr>
        <w:spacing w:after="60" w:before="60"/>
      </w:pPr>
    </w:p>
    <w:p>
      <w:pPr>
        <w:spacing w:after="120" w:before="120"/>
        <w:jc w:val="center"/>
      </w:pPr>
      <w:r>
        <w:rPr>
          <w:rFonts w:ascii="Arial" w:cs="Arial" w:eastAsia="Arial" w:hAnsi="Arial"/>
          <w:color w:val="595959"/>
          <w:sz w:val="18"/>
          <w:szCs w:val="18"/>
        </w:rPr>
        <w:t xml:space="preserve">Customer Churn Analysis Portfolio  •  Alignment Report  •  March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2761" w:sz="6"/>
      </w:pBdr>
      <w:jc w:val="right"/>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2761" w:sz="6"/>
      </w:pBdr>
    </w:pPr>
    <w:r>
      <w:rPr>
        <w:rFonts w:ascii="Arial" w:cs="Arial" w:eastAsia="Arial" w:hAnsi="Arial"/>
        <w:b/>
        <w:bCs/>
        <w:color w:val="1E2761"/>
        <w:sz w:val="18"/>
        <w:szCs w:val="18"/>
      </w:rPr>
      <w:t xml:space="preserve">Bayesian Framework — Alignment Report</w:t>
    </w:r>
    <w:r>
      <w:rPr>
        <w:rFonts w:ascii="Arial" w:cs="Arial" w:eastAsia="Arial" w:hAnsi="Arial"/>
        <w:color w:val="595959"/>
        <w:sz w:val="18"/>
        <w:szCs w:val="18"/>
      </w:rPr>
      <w:t xml:space="preserve">   |   Customer Churn Analysis Portfolio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2761"/>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E2761"/>
      <w:sz w:val="26"/>
      <w:szCs w:val="26"/>
    </w:rPr>
  </w:style>
  <w:style w:type="paragraph" w:styleId="Heading3">
    <w:name w:val="Heading 3"/>
    <w:basedOn w:val="Normal"/>
    <w:next w:val="Normal"/>
    <w:qFormat/>
    <w:pPr>
      <w:spacing w:after="90" w:before="180"/>
      <w:outlineLvl w:val="2"/>
    </w:pPr>
    <w:rPr>
      <w:rFonts w:ascii="Arial" w:cs="Arial" w:eastAsia="Arial" w:hAnsi="Arial"/>
      <w:b/>
      <w:bCs/>
      <w:color w:val="E85D0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2026-03-06T19:40:40.656Z</dcterms:created>
  <dcterms:modified xsi:type="dcterms:W3CDTF">2026-03-06T19:40:40.657Z</dcterms:modified>
</cp:coreProperties>
</file>

<file path=docProps/custom.xml><?xml version="1.0" encoding="utf-8"?>
<Properties xmlns="http://schemas.openxmlformats.org/officeDocument/2006/custom-properties" xmlns:vt="http://schemas.openxmlformats.org/officeDocument/2006/docPropsVTypes"/>
</file>