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ELLA NDALLA</w:t>
      </w:r>
    </w:p>
    <w:p>
      <w:pPr>
        <w:spacing w:after="40" w:before="0"/>
        <w:jc w:val="center"/>
      </w:pPr>
      <w:r>
        <w:rPr>
          <w:rFonts w:ascii="Arial" w:cs="Arial" w:eastAsia="Arial" w:hAnsi="Arial"/>
          <w:color w:val="595959"/>
          <w:sz w:val="18"/>
          <w:szCs w:val="18"/>
        </w:rPr>
        <w:t xml:space="preserve">New York, NY  |  ndallaella@gmail.com  |  LinkedIn: linkedin.com/in/ellondalla  |  GitHub: github.com/EllaN12</w:t>
      </w:r>
    </w:p>
    <w:p>
      <w:pPr>
        <w:pBdr>
          <w:bottom w:val="single" w:color="1F4E79" w:sz="18"/>
        </w:pBdr>
        <w:spacing w:after="200" w:before="0"/>
        <w:jc w:val="center"/>
      </w:pPr>
    </w:p>
    <w:p>
      <w:pPr>
        <w:spacing w:after="0" w:before="200"/>
      </w:pPr>
      <w:r>
        <w:rPr>
          <w:rFonts w:ascii="Arial" w:cs="Arial" w:eastAsia="Arial" w:hAnsi="Arial"/>
          <w:b/>
          <w:bCs/>
          <w:color w:val="1F4E79"/>
          <w:sz w:val="22"/>
          <w:szCs w:val="22"/>
        </w:rPr>
        <w:t xml:space="preserve">PROFESSIONAL SUMMARY</w:t>
      </w:r>
    </w:p>
    <w:p>
      <w:pPr>
        <w:pBdr>
          <w:bottom w:val="single" w:color="2E75B6" w:sz="12"/>
        </w:pBdr>
        <w:spacing w:after="60" w:before="0"/>
      </w:pPr>
    </w:p>
    <w:p>
      <w:pPr>
        <w:spacing w:after="100" w:before="80"/>
      </w:pPr>
      <w:r>
        <w:rPr>
          <w:rFonts w:ascii="Arial" w:cs="Arial" w:eastAsia="Arial" w:hAnsi="Arial"/>
          <w:color w:val="595959"/>
          <w:sz w:val="19"/>
          <w:szCs w:val="19"/>
        </w:rPr>
        <w:t xml:space="preserve">Data-driven analytical professional with 8+ years of experience spanning IT SOX compliance, Financial SOX auditing, IT Integrated Audit, and enterprise data analytics. Combines deep financial acumen and audit rigor with hands-on expertise in machine learning, marketing analytics, causal inference, and continuous monitoring. Proven track record translating complex data into actionable business insights and quantifiable ROI recommendations for cross-functional stakeholders. Adept at building scalable analytical frameworks, leading full-lifecycle analytics initiatives from concept through production deployment, and communicating findings to audiences ranging from day-to-day analysts to C-suite executives. Seeking to leverage this unique blend of financial, compliance, and advanced analytics expertise to drive transformative impact for large enterprise clients at Google.</w:t>
      </w:r>
    </w:p>
    <w:p>
      <w:pPr>
        <w:spacing w:after="0" w:before="200"/>
      </w:pPr>
      <w:r>
        <w:rPr>
          <w:rFonts w:ascii="Arial" w:cs="Arial" w:eastAsia="Arial" w:hAnsi="Arial"/>
          <w:b/>
          <w:bCs/>
          <w:color w:val="1F4E79"/>
          <w:sz w:val="22"/>
          <w:szCs w:val="22"/>
        </w:rPr>
        <w:t xml:space="preserve">CORE COMPETENCIES</w:t>
      </w:r>
    </w:p>
    <w:p>
      <w:pPr>
        <w:pBdr>
          <w:bottom w:val="single" w:color="2E75B6" w:sz="12"/>
        </w:pBdr>
        <w:spacing w:after="60" w:before="0"/>
      </w:pPr>
    </w:p>
    <w:tbl>
      <w:tblPr>
        <w:tblW w:type="dxa" w:w="9000"/>
        <w:tblBorders>
          <w:top w:val="none"/>
          <w:left w:val="none"/>
          <w:bottom w:val="none"/>
          <w:right w:val="none"/>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Marketing Analytics &amp; Attribution Modeling</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Continuous Controls Monitoring &amp; Risk Analytics</w:t>
            </w:r>
          </w:p>
        </w:tc>
      </w:tr>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Financial Modeling &amp; ROI Quantification</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Data Storytelling &amp; Executive Communication</w:t>
            </w:r>
          </w:p>
        </w:tc>
      </w:tr>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Machine Learning (PyCaret, H2O.ai, scikit-learn)</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Python  |  SQL  |  PySpark  |  Streamlit  |  FastAPI</w:t>
            </w:r>
          </w:p>
        </w:tc>
      </w:tr>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Causal Inference &amp; Experimental Design</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Web Analytics (GA4)  |  Statistical Analysis</w:t>
            </w:r>
          </w:p>
        </w:tc>
      </w:tr>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Customer Segmentation &amp; Lifetime Value Analysis</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End-to-End Project &amp; Program Management</w:t>
            </w:r>
          </w:p>
        </w:tc>
      </w:tr>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IT SOX &amp; Financial SOX Compliance</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ListParagraph"/>
              <w:numPr>
                <w:ilvl w:val="0"/>
                <w:numId w:val="2"/>
              </w:numPr>
            </w:pPr>
            <w:r>
              <w:rPr>
                <w:rFonts w:ascii="Arial" w:cs="Arial" w:eastAsia="Arial" w:hAnsi="Arial"/>
                <w:color w:val="595959"/>
                <w:sz w:val="19"/>
                <w:szCs w:val="19"/>
              </w:rPr>
              <w:t xml:space="preserve">Client Advisory &amp; C-Suite Stakeholder Engagement</w:t>
            </w:r>
          </w:p>
        </w:tc>
      </w:tr>
    </w:tbl>
    <w:p>
      <w:pPr>
        <w:spacing w:after="0" w:before="200"/>
      </w:pPr>
      <w:r>
        <w:rPr>
          <w:rFonts w:ascii="Arial" w:cs="Arial" w:eastAsia="Arial" w:hAnsi="Arial"/>
          <w:b/>
          <w:bCs/>
          <w:color w:val="1F4E79"/>
          <w:sz w:val="22"/>
          <w:szCs w:val="22"/>
        </w:rPr>
        <w:t xml:space="preserve">PROFESSIONAL EXPERIENCE</w:t>
      </w:r>
    </w:p>
    <w:p>
      <w:pPr>
        <w:pBdr>
          <w:bottom w:val="single" w:color="2E75B6" w:sz="12"/>
        </w:pBdr>
        <w:spacing w:after="60" w:before="0"/>
      </w:pPr>
    </w:p>
    <w:p>
      <w:pPr>
        <w:tabs>
          <w:tab w:val="right" w:pos="9026"/>
        </w:tabs>
        <w:spacing w:after="0" w:before="160"/>
      </w:pPr>
      <w:r>
        <w:rPr>
          <w:rFonts w:ascii="Arial" w:cs="Arial" w:eastAsia="Arial" w:hAnsi="Arial"/>
          <w:b/>
          <w:bCs/>
          <w:color w:val="000000"/>
          <w:sz w:val="21"/>
          <w:szCs w:val="21"/>
        </w:rPr>
        <w:t xml:space="preserve">Senior IT Audit &amp; Data Analytics Manager</w:t>
      </w:r>
      <w:r>
        <w:rPr>
          <w:rFonts w:ascii="Arial" w:cs="Arial" w:eastAsia="Arial" w:hAnsi="Arial"/>
          <w:i/>
          <w:iCs/>
          <w:color w:val="595959"/>
          <w:sz w:val="19"/>
          <w:szCs w:val="19"/>
        </w:rPr>
        <w:t xml:space="preserve">	20XX – Present</w:t>
      </w:r>
    </w:p>
    <w:p>
      <w:pPr>
        <w:spacing w:after="60" w:before="0"/>
      </w:pPr>
      <w:r>
        <w:rPr>
          <w:rFonts w:ascii="Arial" w:cs="Arial" w:eastAsia="Arial" w:hAnsi="Arial"/>
          <w:i/>
          <w:iCs/>
          <w:color w:val="2E75B6"/>
          <w:sz w:val="19"/>
          <w:szCs w:val="19"/>
        </w:rPr>
        <w:t xml:space="preserve">[Company Name]  |  New York, NY</w:t>
      </w:r>
    </w:p>
    <w:p>
      <w:pPr>
        <w:pStyle w:val="ListParagraph"/>
        <w:numPr>
          <w:ilvl w:val="0"/>
          <w:numId w:val="2"/>
        </w:numPr>
        <w:spacing w:after="40" w:before="40"/>
      </w:pPr>
      <w:r>
        <w:rPr>
          <w:rFonts w:ascii="Arial" w:cs="Arial" w:eastAsia="Arial" w:hAnsi="Arial"/>
          <w:color w:val="595959"/>
          <w:sz w:val="19"/>
          <w:szCs w:val="19"/>
        </w:rPr>
        <w:t xml:space="preserve">Led enterprise-wide continuous monitoring program integrating automated data analytics pipelines across 200+ IT controls, reducing manual audit effort by 40% and enabling real-time risk detection for $XB in financial transactions.</w:t>
      </w:r>
    </w:p>
    <w:p>
      <w:pPr>
        <w:pStyle w:val="ListParagraph"/>
        <w:numPr>
          <w:ilvl w:val="0"/>
          <w:numId w:val="2"/>
        </w:numPr>
        <w:spacing w:after="40" w:before="40"/>
      </w:pPr>
      <w:r>
        <w:rPr>
          <w:rFonts w:ascii="Arial" w:cs="Arial" w:eastAsia="Arial" w:hAnsi="Arial"/>
          <w:color w:val="595959"/>
          <w:sz w:val="19"/>
          <w:szCs w:val="19"/>
        </w:rPr>
        <w:t xml:space="preserve">Developed financial and operational risk models to quantify exposure across IT general controls (ITGCs), application controls, and SOX 404 compliance requirements; findings directly informed C-suite investment prioritization decisions.</w:t>
      </w:r>
    </w:p>
    <w:p>
      <w:pPr>
        <w:pStyle w:val="ListParagraph"/>
        <w:numPr>
          <w:ilvl w:val="0"/>
          <w:numId w:val="2"/>
        </w:numPr>
        <w:spacing w:after="40" w:before="40"/>
      </w:pPr>
      <w:r>
        <w:rPr>
          <w:rFonts w:ascii="Arial" w:cs="Arial" w:eastAsia="Arial" w:hAnsi="Arial"/>
          <w:color w:val="595959"/>
          <w:sz w:val="19"/>
          <w:szCs w:val="19"/>
        </w:rPr>
        <w:t xml:space="preserve">Built and deployed Python-based data analytics dashboards (Streamlit, Power BI) to visualize control performance trends, exceptions, and KPIs, enabling management to monitor risk posture in near real-time.</w:t>
      </w:r>
    </w:p>
    <w:p>
      <w:pPr>
        <w:pStyle w:val="ListParagraph"/>
        <w:numPr>
          <w:ilvl w:val="0"/>
          <w:numId w:val="2"/>
        </w:numPr>
        <w:spacing w:after="40" w:before="40"/>
      </w:pPr>
      <w:r>
        <w:rPr>
          <w:rFonts w:ascii="Arial" w:cs="Arial" w:eastAsia="Arial" w:hAnsi="Arial"/>
          <w:color w:val="595959"/>
          <w:sz w:val="19"/>
          <w:szCs w:val="19"/>
        </w:rPr>
        <w:t xml:space="preserve">Served as primary analytics advisor in client-facing integrated audit engagements, translating complex technical findings into executive-ready narratives and board-level presentations for Fortune 500 clients.</w:t>
      </w:r>
    </w:p>
    <w:p>
      <w:pPr>
        <w:pStyle w:val="ListParagraph"/>
        <w:numPr>
          <w:ilvl w:val="0"/>
          <w:numId w:val="2"/>
        </w:numPr>
        <w:spacing w:after="40" w:before="40"/>
      </w:pPr>
      <w:r>
        <w:rPr>
          <w:rFonts w:ascii="Arial" w:cs="Arial" w:eastAsia="Arial" w:hAnsi="Arial"/>
          <w:color w:val="595959"/>
          <w:sz w:val="19"/>
          <w:szCs w:val="19"/>
        </w:rPr>
        <w:t xml:space="preserve">Designed and executed ROI-driven audit scoping models using statistical sampling and predictive risk scoring, improving audit coverage efficiency by 30% while maintaining full SOX compliance.</w:t>
      </w:r>
    </w:p>
    <w:p>
      <w:pPr>
        <w:pStyle w:val="ListParagraph"/>
        <w:numPr>
          <w:ilvl w:val="0"/>
          <w:numId w:val="2"/>
        </w:numPr>
        <w:spacing w:after="40" w:before="40"/>
      </w:pPr>
      <w:r>
        <w:rPr>
          <w:rFonts w:ascii="Arial" w:cs="Arial" w:eastAsia="Arial" w:hAnsi="Arial"/>
          <w:color w:val="595959"/>
          <w:sz w:val="19"/>
          <w:szCs w:val="19"/>
        </w:rPr>
        <w:t xml:space="preserve">Spearheaded the adoption of ML-assisted anomaly detection for journal entry testing and access control monitoring, leveraging Python (scikit-learn, PySpark) to flag $X million in anomalous transactions.</w:t>
      </w:r>
    </w:p>
    <w:p>
      <w:pPr>
        <w:tabs>
          <w:tab w:val="right" w:pos="9026"/>
        </w:tabs>
        <w:spacing w:after="0" w:before="160"/>
      </w:pPr>
      <w:r>
        <w:rPr>
          <w:rFonts w:ascii="Arial" w:cs="Arial" w:eastAsia="Arial" w:hAnsi="Arial"/>
          <w:b/>
          <w:bCs/>
          <w:color w:val="000000"/>
          <w:sz w:val="21"/>
          <w:szCs w:val="21"/>
        </w:rPr>
        <w:t xml:space="preserve">IT Audit Senior Associate</w:t>
      </w:r>
      <w:r>
        <w:rPr>
          <w:rFonts w:ascii="Arial" w:cs="Arial" w:eastAsia="Arial" w:hAnsi="Arial"/>
          <w:i/>
          <w:iCs/>
          <w:color w:val="595959"/>
          <w:sz w:val="19"/>
          <w:szCs w:val="19"/>
        </w:rPr>
        <w:t xml:space="preserve">	20XX – 20XX</w:t>
      </w:r>
    </w:p>
    <w:p>
      <w:pPr>
        <w:spacing w:after="60" w:before="0"/>
      </w:pPr>
      <w:r>
        <w:rPr>
          <w:rFonts w:ascii="Arial" w:cs="Arial" w:eastAsia="Arial" w:hAnsi="Arial"/>
          <w:i/>
          <w:iCs/>
          <w:color w:val="2E75B6"/>
          <w:sz w:val="19"/>
          <w:szCs w:val="19"/>
        </w:rPr>
        <w:t xml:space="preserve">[Company Name]  |  New York, NY</w:t>
      </w:r>
    </w:p>
    <w:p>
      <w:pPr>
        <w:pStyle w:val="ListParagraph"/>
        <w:numPr>
          <w:ilvl w:val="0"/>
          <w:numId w:val="2"/>
        </w:numPr>
        <w:spacing w:after="40" w:before="40"/>
      </w:pPr>
      <w:r>
        <w:rPr>
          <w:rFonts w:ascii="Arial" w:cs="Arial" w:eastAsia="Arial" w:hAnsi="Arial"/>
          <w:color w:val="595959"/>
          <w:sz w:val="19"/>
          <w:szCs w:val="19"/>
        </w:rPr>
        <w:t xml:space="preserve">Executed IT SOX and Financial SOX integrated audits across ERP platforms (SAP, Oracle), performing end-to-end ITGC testing, business process control evaluation, and financial statement risk assessment.</w:t>
      </w:r>
    </w:p>
    <w:p>
      <w:pPr>
        <w:pStyle w:val="ListParagraph"/>
        <w:numPr>
          <w:ilvl w:val="0"/>
          <w:numId w:val="2"/>
        </w:numPr>
        <w:spacing w:after="40" w:before="40"/>
      </w:pPr>
      <w:r>
        <w:rPr>
          <w:rFonts w:ascii="Arial" w:cs="Arial" w:eastAsia="Arial" w:hAnsi="Arial"/>
          <w:color w:val="595959"/>
          <w:sz w:val="19"/>
          <w:szCs w:val="19"/>
        </w:rPr>
        <w:t xml:space="preserve">Developed data analytics test programs using ACL and Python to automate population completeness, duplicate detection, and gap analysis for audit samples spanning millions of transactions.</w:t>
      </w:r>
    </w:p>
    <w:p>
      <w:pPr>
        <w:pStyle w:val="ListParagraph"/>
        <w:numPr>
          <w:ilvl w:val="0"/>
          <w:numId w:val="2"/>
        </w:numPr>
        <w:spacing w:after="40" w:before="40"/>
      </w:pPr>
      <w:r>
        <w:rPr>
          <w:rFonts w:ascii="Arial" w:cs="Arial" w:eastAsia="Arial" w:hAnsi="Arial"/>
          <w:color w:val="595959"/>
          <w:sz w:val="19"/>
          <w:szCs w:val="19"/>
        </w:rPr>
        <w:t xml:space="preserve">Collaborated with cross-functional business and IT stakeholders to design and remediate control deficiencies, presenting findings and remediation roadmaps to VP and C-suite management.</w:t>
      </w:r>
    </w:p>
    <w:p>
      <w:pPr>
        <w:pStyle w:val="ListParagraph"/>
        <w:numPr>
          <w:ilvl w:val="0"/>
          <w:numId w:val="2"/>
        </w:numPr>
        <w:spacing w:after="40" w:before="40"/>
      </w:pPr>
      <w:r>
        <w:rPr>
          <w:rFonts w:ascii="Arial" w:cs="Arial" w:eastAsia="Arial" w:hAnsi="Arial"/>
          <w:color w:val="595959"/>
          <w:sz w:val="19"/>
          <w:szCs w:val="19"/>
        </w:rPr>
        <w:t xml:space="preserve">Managed audit project timelines, resource allocation, and deliverable quality across simultaneous engagements, consistently delivering on time and within budget.</w:t>
      </w:r>
    </w:p>
    <w:p>
      <w:pPr>
        <w:pStyle w:val="ListParagraph"/>
        <w:numPr>
          <w:ilvl w:val="0"/>
          <w:numId w:val="2"/>
        </w:numPr>
        <w:spacing w:after="40" w:before="40"/>
      </w:pPr>
      <w:r>
        <w:rPr>
          <w:rFonts w:ascii="Arial" w:cs="Arial" w:eastAsia="Arial" w:hAnsi="Arial"/>
          <w:color w:val="595959"/>
          <w:sz w:val="19"/>
          <w:szCs w:val="19"/>
        </w:rPr>
        <w:t xml:space="preserve">Built continuous monitoring dashboards tracking privileged access, segregation of duties (SoD) conflicts, and change management compliance metrics, reducing recurring control exceptions by 25%.</w:t>
      </w:r>
    </w:p>
    <w:p>
      <w:pPr>
        <w:tabs>
          <w:tab w:val="right" w:pos="9026"/>
        </w:tabs>
        <w:spacing w:after="0" w:before="160"/>
      </w:pPr>
      <w:r>
        <w:rPr>
          <w:rFonts w:ascii="Arial" w:cs="Arial" w:eastAsia="Arial" w:hAnsi="Arial"/>
          <w:b/>
          <w:bCs/>
          <w:color w:val="000000"/>
          <w:sz w:val="21"/>
          <w:szCs w:val="21"/>
        </w:rPr>
        <w:t xml:space="preserve">IT Audit &amp; Compliance Analyst</w:t>
      </w:r>
      <w:r>
        <w:rPr>
          <w:rFonts w:ascii="Arial" w:cs="Arial" w:eastAsia="Arial" w:hAnsi="Arial"/>
          <w:i/>
          <w:iCs/>
          <w:color w:val="595959"/>
          <w:sz w:val="19"/>
          <w:szCs w:val="19"/>
        </w:rPr>
        <w:t xml:space="preserve">	20XX – 20XX</w:t>
      </w:r>
    </w:p>
    <w:p>
      <w:pPr>
        <w:spacing w:after="60" w:before="0"/>
      </w:pPr>
      <w:r>
        <w:rPr>
          <w:rFonts w:ascii="Arial" w:cs="Arial" w:eastAsia="Arial" w:hAnsi="Arial"/>
          <w:i/>
          <w:iCs/>
          <w:color w:val="2E75B6"/>
          <w:sz w:val="19"/>
          <w:szCs w:val="19"/>
        </w:rPr>
        <w:t xml:space="preserve">[Company Name]  |  [City, State]</w:t>
      </w:r>
    </w:p>
    <w:p>
      <w:pPr>
        <w:pStyle w:val="ListParagraph"/>
        <w:numPr>
          <w:ilvl w:val="0"/>
          <w:numId w:val="2"/>
        </w:numPr>
        <w:spacing w:after="40" w:before="40"/>
      </w:pPr>
      <w:r>
        <w:rPr>
          <w:rFonts w:ascii="Arial" w:cs="Arial" w:eastAsia="Arial" w:hAnsi="Arial"/>
          <w:color w:val="595959"/>
          <w:sz w:val="19"/>
          <w:szCs w:val="19"/>
        </w:rPr>
        <w:t xml:space="preserve">Supported IT integrated audit engagements covering SOX 302/404, SSAE 18, and internal audit requirements, performing risk assessments, control testing, and gap analyses.</w:t>
      </w:r>
    </w:p>
    <w:p>
      <w:pPr>
        <w:pStyle w:val="ListParagraph"/>
        <w:numPr>
          <w:ilvl w:val="0"/>
          <w:numId w:val="2"/>
        </w:numPr>
        <w:spacing w:after="40" w:before="40"/>
      </w:pPr>
      <w:r>
        <w:rPr>
          <w:rFonts w:ascii="Arial" w:cs="Arial" w:eastAsia="Arial" w:hAnsi="Arial"/>
          <w:color w:val="595959"/>
          <w:sz w:val="19"/>
          <w:szCs w:val="19"/>
        </w:rPr>
        <w:t xml:space="preserve">Performed data-driven testing of financial and operational controls using SQL queries, Excel analytics, and ACL scripts, enabling evidence-based audit conclusions across large-volume transaction populations.</w:t>
      </w:r>
    </w:p>
    <w:p>
      <w:pPr>
        <w:pStyle w:val="ListParagraph"/>
        <w:numPr>
          <w:ilvl w:val="0"/>
          <w:numId w:val="2"/>
        </w:numPr>
        <w:spacing w:after="40" w:before="40"/>
      </w:pPr>
      <w:r>
        <w:rPr>
          <w:rFonts w:ascii="Arial" w:cs="Arial" w:eastAsia="Arial" w:hAnsi="Arial"/>
          <w:color w:val="595959"/>
          <w:sz w:val="19"/>
          <w:szCs w:val="19"/>
        </w:rPr>
        <w:t xml:space="preserve">Assisted in developing continuous monitoring frameworks for access management, configuration change controls, and automated reconciliations, laying groundwork for a full-cycle analytics program.</w:t>
      </w:r>
    </w:p>
    <w:p>
      <w:pPr>
        <w:pStyle w:val="ListParagraph"/>
        <w:numPr>
          <w:ilvl w:val="0"/>
          <w:numId w:val="2"/>
        </w:numPr>
        <w:spacing w:after="40" w:before="40"/>
      </w:pPr>
      <w:r>
        <w:rPr>
          <w:rFonts w:ascii="Arial" w:cs="Arial" w:eastAsia="Arial" w:hAnsi="Arial"/>
          <w:color w:val="595959"/>
          <w:sz w:val="19"/>
          <w:szCs w:val="19"/>
        </w:rPr>
        <w:t xml:space="preserve">Authored audit reports and management presentations translating technical findings into business risk language for non-technical stakeholders.</w:t>
      </w:r>
    </w:p>
    <w:p>
      <w:pPr>
        <w:spacing w:after="0" w:before="200"/>
      </w:pPr>
      <w:r>
        <w:rPr>
          <w:rFonts w:ascii="Arial" w:cs="Arial" w:eastAsia="Arial" w:hAnsi="Arial"/>
          <w:b/>
          <w:bCs/>
          <w:color w:val="1F4E79"/>
          <w:sz w:val="22"/>
          <w:szCs w:val="22"/>
        </w:rPr>
        <w:t xml:space="preserve">ANALYTICS PROJECTS</w:t>
      </w:r>
    </w:p>
    <w:p>
      <w:pPr>
        <w:pBdr>
          <w:bottom w:val="single" w:color="2E75B6" w:sz="12"/>
        </w:pBdr>
        <w:spacing w:after="60" w:before="0"/>
      </w:pPr>
    </w:p>
    <w:p>
      <w:pPr>
        <w:spacing w:after="0" w:before="140"/>
      </w:pPr>
      <w:r>
        <w:rPr>
          <w:rFonts w:ascii="Arial" w:cs="Arial" w:eastAsia="Arial" w:hAnsi="Arial"/>
          <w:b/>
          <w:bCs/>
          <w:color w:val="000000"/>
          <w:sz w:val="21"/>
          <w:szCs w:val="21"/>
        </w:rPr>
        <w:t xml:space="preserve">Email Lead Scoring &amp; Marketing Revenue Optimization Engine</w:t>
      </w:r>
      <w:r>
        <w:rPr>
          <w:rFonts w:ascii="Arial" w:cs="Arial" w:eastAsia="Arial" w:hAnsi="Arial"/>
          <w:i/>
          <w:iCs/>
          <w:color w:val="595959"/>
          <w:sz w:val="19"/>
          <w:szCs w:val="19"/>
        </w:rPr>
        <w:t xml:space="preserve">  |  Full-Stack ML Application  |  </w:t>
      </w:r>
      <w:r>
        <w:rPr>
          <w:rFonts w:ascii="Arial" w:cs="Arial" w:eastAsia="Arial" w:hAnsi="Arial"/>
          <w:color w:val="2E75B6"/>
          <w:sz w:val="19"/>
          <w:szCs w:val="19"/>
        </w:rPr>
        <w:t xml:space="preserve">github.com/EllaN12/Email-Lead-Scoring-Frontend</w:t>
      </w:r>
    </w:p>
    <w:p>
      <w:pPr>
        <w:spacing w:after="60" w:before="40"/>
      </w:pPr>
      <w:r>
        <w:rPr>
          <w:rFonts w:ascii="Arial" w:cs="Arial" w:eastAsia="Arial" w:hAnsi="Arial"/>
          <w:i/>
          <w:iCs/>
          <w:color w:val="595959"/>
          <w:sz w:val="18"/>
          <w:szCs w:val="18"/>
        </w:rPr>
        <w:t xml:space="preserve">Python  |  PyCaret  |  H2O.ai  |  MLflow  |  FastAPI  |  Streamlit  |  SQLite  |  Google Cloud Run  |  CRISP-DM</w:t>
      </w:r>
    </w:p>
    <w:p>
      <w:pPr>
        <w:pStyle w:val="ListParagraph"/>
        <w:numPr>
          <w:ilvl w:val="0"/>
          <w:numId w:val="2"/>
        </w:numPr>
        <w:spacing w:after="40" w:before="40"/>
      </w:pPr>
      <w:r>
        <w:rPr>
          <w:rFonts w:ascii="Arial" w:cs="Arial" w:eastAsia="Arial" w:hAnsi="Arial"/>
          <w:color w:val="595959"/>
          <w:sz w:val="19"/>
          <w:szCs w:val="19"/>
        </w:rPr>
        <w:t xml:space="preserve">Designed and deployed an end-to-end marketing analytics solution to optimize email campaign strategy for an online education business, balancing subscriber retention against conversion revenue — directly analogous to marketing ROI challenges faced by Google LCS clients.</w:t>
      </w:r>
    </w:p>
    <w:p>
      <w:pPr>
        <w:pStyle w:val="ListParagraph"/>
        <w:numPr>
          <w:ilvl w:val="0"/>
          <w:numId w:val="2"/>
        </w:numPr>
        <w:spacing w:after="40" w:before="40"/>
      </w:pPr>
      <w:r>
        <w:rPr>
          <w:rFonts w:ascii="Arial" w:cs="Arial" w:eastAsia="Arial" w:hAnsi="Arial"/>
          <w:color w:val="595959"/>
          <w:sz w:val="19"/>
          <w:szCs w:val="19"/>
        </w:rPr>
        <w:t xml:space="preserve">Engineered a cost optimization model quantifying the financial impact of email frequency strategies: at an 85% sales threshold, the optimized strategy yielded $180K in sales while generating $33K in operational savings and driving $214K in monthly revenue.</w:t>
      </w:r>
    </w:p>
    <w:p>
      <w:pPr>
        <w:pStyle w:val="ListParagraph"/>
        <w:numPr>
          <w:ilvl w:val="0"/>
          <w:numId w:val="2"/>
        </w:numPr>
        <w:spacing w:after="40" w:before="40"/>
      </w:pPr>
      <w:r>
        <w:rPr>
          <w:rFonts w:ascii="Arial" w:cs="Arial" w:eastAsia="Arial" w:hAnsi="Arial"/>
          <w:color w:val="595959"/>
          <w:sz w:val="19"/>
          <w:szCs w:val="19"/>
        </w:rPr>
        <w:t xml:space="preserve">Built machine learning pipelines (PyCaret blended ensemble: 89% ROC-AUC; H2O.ai stacked ensemble: 87% AUC) to predict subscriber purchase propensity from 26,000+ behavioral tags, 93 subscriber profiles, 4,600+ transaction records, and website activity data extracted via automated ETL.</w:t>
      </w:r>
    </w:p>
    <w:p>
      <w:pPr>
        <w:pStyle w:val="ListParagraph"/>
        <w:numPr>
          <w:ilvl w:val="0"/>
          <w:numId w:val="2"/>
        </w:numPr>
        <w:spacing w:after="40" w:before="40"/>
      </w:pPr>
      <w:r>
        <w:rPr>
          <w:rFonts w:ascii="Arial" w:cs="Arial" w:eastAsia="Arial" w:hAnsi="Arial"/>
          <w:color w:val="595959"/>
          <w:sz w:val="19"/>
          <w:szCs w:val="19"/>
        </w:rPr>
        <w:t xml:space="preserve">Developed a production-ready RESTful API (FastAPI, deployed on AWS EC2 and Google Cloud Run) with a React frontend enabling real-time lead score predictions and campaign scenario modeling.</w:t>
      </w:r>
    </w:p>
    <w:p>
      <w:pPr>
        <w:pStyle w:val="ListParagraph"/>
        <w:numPr>
          <w:ilvl w:val="0"/>
          <w:numId w:val="2"/>
        </w:numPr>
        <w:spacing w:after="40" w:before="40"/>
      </w:pPr>
      <w:r>
        <w:rPr>
          <w:rFonts w:ascii="Arial" w:cs="Arial" w:eastAsia="Arial" w:hAnsi="Arial"/>
          <w:color w:val="595959"/>
          <w:sz w:val="19"/>
          <w:szCs w:val="19"/>
        </w:rPr>
        <w:t xml:space="preserve">Implemented MLflow experimentation tracking to benchmark models and document reproducible results, establishing an auditable analytics infrastructure aligned with enterprise governance standards.</w:t>
      </w:r>
    </w:p>
    <w:p>
      <w:pPr>
        <w:spacing w:after="0" w:before="160"/>
      </w:pPr>
      <w:r>
        <w:rPr>
          <w:rFonts w:ascii="Arial" w:cs="Arial" w:eastAsia="Arial" w:hAnsi="Arial"/>
          <w:b/>
          <w:bCs/>
          <w:color w:val="000000"/>
          <w:sz w:val="21"/>
          <w:szCs w:val="21"/>
        </w:rPr>
        <w:t xml:space="preserve">Multi-Phase Customer Churn Prediction &amp; Retention Strategy System</w:t>
      </w:r>
      <w:r>
        <w:rPr>
          <w:rFonts w:ascii="Arial" w:cs="Arial" w:eastAsia="Arial" w:hAnsi="Arial"/>
          <w:i/>
          <w:iCs/>
          <w:color w:val="595959"/>
          <w:sz w:val="19"/>
          <w:szCs w:val="19"/>
        </w:rPr>
        <w:t xml:space="preserve">  |  Enterprise ML Project  |  </w:t>
      </w:r>
      <w:r>
        <w:rPr>
          <w:rFonts w:ascii="Arial" w:cs="Arial" w:eastAsia="Arial" w:hAnsi="Arial"/>
          <w:color w:val="2E75B6"/>
          <w:sz w:val="19"/>
          <w:szCs w:val="19"/>
        </w:rPr>
        <w:t xml:space="preserve">github.com/EllaN12/Customer_Churn_Analysis</w:t>
      </w:r>
    </w:p>
    <w:p>
      <w:pPr>
        <w:spacing w:after="60" w:before="40"/>
      </w:pPr>
      <w:r>
        <w:rPr>
          <w:rFonts w:ascii="Arial" w:cs="Arial" w:eastAsia="Arial" w:hAnsi="Arial"/>
          <w:i/>
          <w:iCs/>
          <w:color w:val="595959"/>
          <w:sz w:val="18"/>
          <w:szCs w:val="18"/>
        </w:rPr>
        <w:t xml:space="preserve">Python  |  PySpark  |  PySpark ML  |  Decision Tree Classifier  |  Behavioral Analytics  |  Experimental Design</w:t>
      </w:r>
    </w:p>
    <w:p>
      <w:pPr>
        <w:pStyle w:val="ListParagraph"/>
        <w:numPr>
          <w:ilvl w:val="0"/>
          <w:numId w:val="2"/>
        </w:numPr>
        <w:spacing w:after="40" w:before="40"/>
      </w:pPr>
      <w:r>
        <w:rPr>
          <w:rFonts w:ascii="Arial" w:cs="Arial" w:eastAsia="Arial" w:hAnsi="Arial"/>
          <w:color w:val="595959"/>
          <w:sz w:val="19"/>
          <w:szCs w:val="19"/>
        </w:rPr>
        <w:t xml:space="preserve">Architected a five-phase end-to-end analytics program — ML Analysis, Causal Validation, Experimental Design, Implementation &amp; Monitoring, and Deployment — to identify customers at risk of churn among 7,043 telecom subscribers, mirroring the full measurement and attribution lifecycle outlined in the Google Analytical Lead role.</w:t>
      </w:r>
    </w:p>
    <w:p>
      <w:pPr>
        <w:pStyle w:val="ListParagraph"/>
        <w:numPr>
          <w:ilvl w:val="0"/>
          <w:numId w:val="2"/>
        </w:numPr>
        <w:spacing w:after="40" w:before="40"/>
      </w:pPr>
      <w:r>
        <w:rPr>
          <w:rFonts w:ascii="Arial" w:cs="Arial" w:eastAsia="Arial" w:hAnsi="Arial"/>
          <w:color w:val="595959"/>
          <w:sz w:val="19"/>
          <w:szCs w:val="19"/>
        </w:rPr>
        <w:t xml:space="preserve">Applied customer segmentation, behavioral profiling, and lifetime value analysis to distinguish high-value at-risk customers from low-value churners, enabling prioritized retention investment strategies — directly supporting the competency areas of LTV modeling and customer behavioral insights.</w:t>
      </w:r>
    </w:p>
    <w:p>
      <w:pPr>
        <w:pStyle w:val="ListParagraph"/>
        <w:numPr>
          <w:ilvl w:val="0"/>
          <w:numId w:val="2"/>
        </w:numPr>
        <w:spacing w:after="40" w:before="40"/>
      </w:pPr>
      <w:r>
        <w:rPr>
          <w:rFonts w:ascii="Arial" w:cs="Arial" w:eastAsia="Arial" w:hAnsi="Arial"/>
          <w:color w:val="595959"/>
          <w:sz w:val="19"/>
          <w:szCs w:val="19"/>
        </w:rPr>
        <w:t xml:space="preserve">Built PySpark ML decision tree classifier to score churn probability at the individual customer level, with feature engineering spanning demographics, service tenure, contract type, and engagement metrics, delivering actionable propensity scores for marketing intervention.</w:t>
      </w:r>
    </w:p>
    <w:p>
      <w:pPr>
        <w:pStyle w:val="ListParagraph"/>
        <w:numPr>
          <w:ilvl w:val="0"/>
          <w:numId w:val="2"/>
        </w:numPr>
        <w:spacing w:after="40" w:before="40"/>
      </w:pPr>
      <w:r>
        <w:rPr>
          <w:rFonts w:ascii="Arial" w:cs="Arial" w:eastAsia="Arial" w:hAnsi="Arial"/>
          <w:color w:val="595959"/>
          <w:sz w:val="19"/>
          <w:szCs w:val="19"/>
        </w:rPr>
        <w:t xml:space="preserve">Designed causal validation framework (Phase 2) to move beyond correlation-based churn drivers toward experimentally verifiable causes, and developed A/B test experimental design (Phase 3) with statistical power analysis to measure retention intervention effectiveness.</w:t>
      </w:r>
    </w:p>
    <w:p>
      <w:pPr>
        <w:pStyle w:val="ListParagraph"/>
        <w:numPr>
          <w:ilvl w:val="0"/>
          <w:numId w:val="2"/>
        </w:numPr>
        <w:spacing w:after="40" w:before="40"/>
      </w:pPr>
      <w:r>
        <w:rPr>
          <w:rFonts w:ascii="Arial" w:cs="Arial" w:eastAsia="Arial" w:hAnsi="Arial"/>
          <w:color w:val="595959"/>
          <w:sz w:val="19"/>
          <w:szCs w:val="19"/>
        </w:rPr>
        <w:t xml:space="preserve">Produced executive-level presentations and a full deployment guide operationalizing the model for ongoing monitoring and continuous retraining — demonstrating the ability to lead analytics initiatives from ideation through measurable business impact.</w:t>
      </w:r>
    </w:p>
    <w:p>
      <w:pPr>
        <w:spacing w:after="0" w:before="160"/>
      </w:pPr>
      <w:r>
        <w:rPr>
          <w:rFonts w:ascii="Arial" w:cs="Arial" w:eastAsia="Arial" w:hAnsi="Arial"/>
          <w:b/>
          <w:bCs/>
          <w:color w:val="000000"/>
          <w:sz w:val="21"/>
          <w:szCs w:val="21"/>
        </w:rPr>
        <w:t xml:space="preserve">Causal Attribution Analytics Framework for Marketing Performance Measurement</w:t>
      </w:r>
      <w:r>
        <w:rPr>
          <w:rFonts w:ascii="Arial" w:cs="Arial" w:eastAsia="Arial" w:hAnsi="Arial"/>
          <w:i/>
          <w:iCs/>
          <w:color w:val="595959"/>
          <w:sz w:val="19"/>
          <w:szCs w:val="19"/>
        </w:rPr>
        <w:t xml:space="preserve">  |  Advanced Causal ML Research  |  </w:t>
      </w:r>
      <w:r>
        <w:rPr>
          <w:rFonts w:ascii="Arial" w:cs="Arial" w:eastAsia="Arial" w:hAnsi="Arial"/>
          <w:color w:val="2E75B6"/>
          <w:sz w:val="19"/>
          <w:szCs w:val="19"/>
        </w:rPr>
        <w:t xml:space="preserve">github.com/EllaN12/Causal_inference-Case_study</w:t>
      </w:r>
    </w:p>
    <w:p>
      <w:pPr>
        <w:spacing w:after="60" w:before="40"/>
      </w:pPr>
      <w:r>
        <w:rPr>
          <w:rFonts w:ascii="Arial" w:cs="Arial" w:eastAsia="Arial" w:hAnsi="Arial"/>
          <w:i/>
          <w:iCs/>
          <w:color w:val="595959"/>
          <w:sz w:val="18"/>
          <w:szCs w:val="18"/>
        </w:rPr>
        <w:t xml:space="preserve">Python  |  DoWhy  |  DAG / Causal Graphs  |  Shapley Values  |  Mediation Analysis  |  HTE (IPW, ATE)  |  scikit-learn  |  statsmodels</w:t>
      </w:r>
    </w:p>
    <w:p>
      <w:pPr>
        <w:pStyle w:val="ListParagraph"/>
        <w:numPr>
          <w:ilvl w:val="0"/>
          <w:numId w:val="2"/>
        </w:numPr>
        <w:spacing w:after="40" w:before="40"/>
      </w:pPr>
      <w:r>
        <w:rPr>
          <w:rFonts w:ascii="Arial" w:cs="Arial" w:eastAsia="Arial" w:hAnsi="Arial"/>
          <w:color w:val="595959"/>
          <w:sz w:val="19"/>
          <w:szCs w:val="19"/>
        </w:rPr>
        <w:t xml:space="preserve">Constructed a formal causal attribution framework using Directed Acyclic Graphs (DAGs) with 30+ nodes and 90+ edges to distinguish correlation from causation in performance measurement — directly addressing one of the most critical challenges in modern marketing analytics and multi-touch attribution for large advertisers.</w:t>
      </w:r>
    </w:p>
    <w:p>
      <w:pPr>
        <w:pStyle w:val="ListParagraph"/>
        <w:numPr>
          <w:ilvl w:val="0"/>
          <w:numId w:val="2"/>
        </w:numPr>
        <w:spacing w:after="40" w:before="40"/>
      </w:pPr>
      <w:r>
        <w:rPr>
          <w:rFonts w:ascii="Arial" w:cs="Arial" w:eastAsia="Arial" w:hAnsi="Arial"/>
          <w:color w:val="595959"/>
          <w:sz w:val="19"/>
          <w:szCs w:val="19"/>
        </w:rPr>
        <w:t xml:space="preserve">Implemented and compared six attribution methodologies side by side — Naive Correlation, OLS Direct Effects, Unique R² Contribution, Shapley Value Decomposition, Relative Importance Weighting, and DoWhy backdoor-adjusted causal estimation — providing a rigorous benchmark for selecting attribution models appropriate to advertiser business contexts.</w:t>
      </w:r>
    </w:p>
    <w:p>
      <w:pPr>
        <w:pStyle w:val="ListParagraph"/>
        <w:numPr>
          <w:ilvl w:val="0"/>
          <w:numId w:val="2"/>
        </w:numPr>
        <w:spacing w:after="40" w:before="40"/>
      </w:pPr>
      <w:r>
        <w:rPr>
          <w:rFonts w:ascii="Arial" w:cs="Arial" w:eastAsia="Arial" w:hAnsi="Arial"/>
          <w:color w:val="595959"/>
          <w:sz w:val="19"/>
          <w:szCs w:val="19"/>
        </w:rPr>
        <w:t xml:space="preserve">Conducted mediation analysis to decompose treatment effects into direct and indirect pathways (e.g., how a marketing input flows through intermediate quality metrics to drive the ultimate outcome), enabling precise measurement of both short- and long-term media investment impact.</w:t>
      </w:r>
    </w:p>
    <w:p>
      <w:pPr>
        <w:pStyle w:val="ListParagraph"/>
        <w:numPr>
          <w:ilvl w:val="0"/>
          <w:numId w:val="2"/>
        </w:numPr>
        <w:spacing w:after="40" w:before="40"/>
      </w:pPr>
      <w:r>
        <w:rPr>
          <w:rFonts w:ascii="Arial" w:cs="Arial" w:eastAsia="Arial" w:hAnsi="Arial"/>
          <w:color w:val="595959"/>
          <w:sz w:val="19"/>
          <w:szCs w:val="19"/>
        </w:rPr>
        <w:t xml:space="preserve">Applied Heterogeneous Treatment Effects (HTE) analysis across 43 identified causal pathways using Inverse Probability Weighting (IPW) and bootstrap confidence intervals, revealing differential campaign effectiveness across customer subgroups — a direct input for audience segmentation and personalized media strategy.</w:t>
      </w:r>
    </w:p>
    <w:p>
      <w:pPr>
        <w:pStyle w:val="ListParagraph"/>
        <w:numPr>
          <w:ilvl w:val="0"/>
          <w:numId w:val="2"/>
        </w:numPr>
        <w:spacing w:after="40" w:before="40"/>
      </w:pPr>
      <w:r>
        <w:rPr>
          <w:rFonts w:ascii="Arial" w:cs="Arial" w:eastAsia="Arial" w:hAnsi="Arial"/>
          <w:color w:val="595959"/>
          <w:sz w:val="19"/>
          <w:szCs w:val="19"/>
        </w:rPr>
        <w:t xml:space="preserve">Engineered a 9-source relational dataset through SQL-style multi-table joins and feature engineering (geodesic distance, KMeans location clusters, Jaccard cuisine matching, temporal feature parsing), demonstrating production-grade data pipeline skills applicable to Google’s measurement and attribution infrastructure.</w:t>
      </w:r>
    </w:p>
    <w:p>
      <w:pPr>
        <w:spacing w:after="0" w:before="200"/>
      </w:pPr>
      <w:r>
        <w:rPr>
          <w:rFonts w:ascii="Arial" w:cs="Arial" w:eastAsia="Arial" w:hAnsi="Arial"/>
          <w:b/>
          <w:bCs/>
          <w:color w:val="1F4E79"/>
          <w:sz w:val="22"/>
          <w:szCs w:val="22"/>
        </w:rPr>
        <w:t xml:space="preserve">EDUCATION</w:t>
      </w:r>
    </w:p>
    <w:p>
      <w:pPr>
        <w:pBdr>
          <w:bottom w:val="single" w:color="2E75B6" w:sz="12"/>
        </w:pBdr>
        <w:spacing w:after="60" w:before="0"/>
      </w:pPr>
    </w:p>
    <w:p>
      <w:pPr>
        <w:tabs>
          <w:tab w:val="right" w:pos="9026"/>
        </w:tabs>
        <w:spacing w:after="0" w:before="160"/>
      </w:pPr>
      <w:r>
        <w:rPr>
          <w:rFonts w:ascii="Arial" w:cs="Arial" w:eastAsia="Arial" w:hAnsi="Arial"/>
          <w:b/>
          <w:bCs/>
          <w:color w:val="000000"/>
          <w:sz w:val="21"/>
          <w:szCs w:val="21"/>
        </w:rPr>
        <w:t xml:space="preserve">Bachelor of Science, [Field of Study]</w:t>
      </w:r>
      <w:r>
        <w:rPr>
          <w:rFonts w:ascii="Arial" w:cs="Arial" w:eastAsia="Arial" w:hAnsi="Arial"/>
          <w:i/>
          <w:iCs/>
          <w:color w:val="595959"/>
          <w:sz w:val="19"/>
          <w:szCs w:val="19"/>
        </w:rPr>
        <w:t xml:space="preserve">	20XX</w:t>
      </w:r>
    </w:p>
    <w:p>
      <w:pPr>
        <w:spacing w:after="60" w:before="0"/>
      </w:pPr>
      <w:r>
        <w:rPr>
          <w:rFonts w:ascii="Arial" w:cs="Arial" w:eastAsia="Arial" w:hAnsi="Arial"/>
          <w:i/>
          <w:iCs/>
          <w:color w:val="2E75B6"/>
          <w:sz w:val="19"/>
          <w:szCs w:val="19"/>
        </w:rPr>
        <w:t xml:space="preserve">[University Name]  |  [City, State]</w:t>
      </w:r>
    </w:p>
    <w:p>
      <w:pPr>
        <w:spacing w:after="0" w:before="100"/>
      </w:pPr>
      <w:r>
        <w:rPr>
          <w:rFonts w:ascii="Arial" w:cs="Arial" w:eastAsia="Arial" w:hAnsi="Arial"/>
          <w:b/>
          <w:bCs/>
          <w:color w:val="000000"/>
          <w:sz w:val="19"/>
          <w:szCs w:val="19"/>
        </w:rPr>
        <w:t xml:space="preserve">Continuing Education &amp; Professional Development</w:t>
      </w:r>
    </w:p>
    <w:p>
      <w:pPr>
        <w:pStyle w:val="ListParagraph"/>
        <w:numPr>
          <w:ilvl w:val="0"/>
          <w:numId w:val="2"/>
        </w:numPr>
        <w:spacing w:after="40" w:before="40"/>
      </w:pPr>
      <w:r>
        <w:rPr>
          <w:rFonts w:ascii="Arial" w:cs="Arial" w:eastAsia="Arial" w:hAnsi="Arial"/>
          <w:color w:val="595959"/>
          <w:sz w:val="19"/>
          <w:szCs w:val="19"/>
        </w:rPr>
        <w:t xml:space="preserve">Data Science for Business Bootcamp — Business Science University</w:t>
      </w:r>
    </w:p>
    <w:p>
      <w:pPr>
        <w:pStyle w:val="ListParagraph"/>
        <w:numPr>
          <w:ilvl w:val="0"/>
          <w:numId w:val="2"/>
        </w:numPr>
        <w:spacing w:after="40" w:before="40"/>
      </w:pPr>
      <w:r>
        <w:rPr>
          <w:rFonts w:ascii="Arial" w:cs="Arial" w:eastAsia="Arial" w:hAnsi="Arial"/>
          <w:color w:val="595959"/>
          <w:sz w:val="19"/>
          <w:szCs w:val="19"/>
        </w:rPr>
        <w:t xml:space="preserve">Machine Learning &amp; AI Specialization — [Platform / Institution]</w:t>
      </w:r>
    </w:p>
    <w:p>
      <w:pPr>
        <w:pStyle w:val="ListParagraph"/>
        <w:numPr>
          <w:ilvl w:val="0"/>
          <w:numId w:val="2"/>
        </w:numPr>
        <w:spacing w:after="40" w:before="40"/>
      </w:pPr>
      <w:r>
        <w:rPr>
          <w:rFonts w:ascii="Arial" w:cs="Arial" w:eastAsia="Arial" w:hAnsi="Arial"/>
          <w:color w:val="595959"/>
          <w:sz w:val="19"/>
          <w:szCs w:val="19"/>
        </w:rPr>
        <w:t xml:space="preserve">Advanced SQL &amp; Data Engineering — [Platform]</w:t>
      </w:r>
    </w:p>
    <w:p>
      <w:pPr>
        <w:spacing w:after="0" w:before="200"/>
      </w:pPr>
      <w:r>
        <w:rPr>
          <w:rFonts w:ascii="Arial" w:cs="Arial" w:eastAsia="Arial" w:hAnsi="Arial"/>
          <w:b/>
          <w:bCs/>
          <w:color w:val="1F4E79"/>
          <w:sz w:val="22"/>
          <w:szCs w:val="22"/>
        </w:rPr>
        <w:t xml:space="preserve">CERTIFICATIONS &amp; TECHNICAL SKILLS</w:t>
      </w:r>
    </w:p>
    <w:p>
      <w:pPr>
        <w:pBdr>
          <w:bottom w:val="single" w:color="2E75B6" w:sz="12"/>
        </w:pBdr>
        <w:spacing w:after="60" w:before="0"/>
      </w:pPr>
    </w:p>
    <w:p>
      <w:pPr>
        <w:pStyle w:val="ListParagraph"/>
        <w:numPr>
          <w:ilvl w:val="0"/>
          <w:numId w:val="2"/>
        </w:numPr>
        <w:spacing w:after="40" w:before="40"/>
      </w:pPr>
      <w:r>
        <w:rPr>
          <w:rFonts w:ascii="Arial" w:cs="Arial" w:eastAsia="Arial" w:hAnsi="Arial"/>
          <w:b/>
          <w:bCs/>
          <w:color w:val="595959"/>
          <w:sz w:val="19"/>
          <w:szCs w:val="19"/>
        </w:rPr>
        <w:t xml:space="preserve">Certifications: </w:t>
      </w:r>
      <w:r>
        <w:rPr>
          <w:rFonts w:ascii="Arial" w:cs="Arial" w:eastAsia="Arial" w:hAnsi="Arial"/>
          <w:color w:val="595959"/>
          <w:sz w:val="19"/>
          <w:szCs w:val="19"/>
        </w:rPr>
        <w:t xml:space="preserve"/>
      </w:r>
    </w:p>
    <w:p>
      <w:pPr>
        <w:pStyle w:val="ListParagraph"/>
        <w:numPr>
          <w:ilvl w:val="0"/>
          <w:numId w:val="3"/>
        </w:numPr>
        <w:spacing w:after="20" w:before="20"/>
      </w:pPr>
      <w:r>
        <w:rPr>
          <w:rFonts w:ascii="Arial" w:cs="Arial" w:eastAsia="Arial" w:hAnsi="Arial"/>
          <w:color w:val="595959"/>
          <w:sz w:val="18"/>
          <w:szCs w:val="18"/>
        </w:rPr>
        <w:t xml:space="preserve">Certified Information Systems Auditor (CISA) — ISACA  [or in progress]</w:t>
      </w:r>
    </w:p>
    <w:p>
      <w:pPr>
        <w:pStyle w:val="ListParagraph"/>
        <w:numPr>
          <w:ilvl w:val="0"/>
          <w:numId w:val="3"/>
        </w:numPr>
        <w:spacing w:after="20" w:before="20"/>
      </w:pPr>
      <w:r>
        <w:rPr>
          <w:rFonts w:ascii="Arial" w:cs="Arial" w:eastAsia="Arial" w:hAnsi="Arial"/>
          <w:color w:val="595959"/>
          <w:sz w:val="18"/>
          <w:szCs w:val="18"/>
        </w:rPr>
        <w:t xml:space="preserve">Certified Internal Auditor (CIA) — IIA  [if applicable]</w:t>
      </w:r>
    </w:p>
    <w:p>
      <w:pPr>
        <w:pStyle w:val="ListParagraph"/>
        <w:numPr>
          <w:ilvl w:val="0"/>
          <w:numId w:val="3"/>
        </w:numPr>
        <w:spacing w:after="20" w:before="20"/>
      </w:pPr>
      <w:r>
        <w:rPr>
          <w:rFonts w:ascii="Arial" w:cs="Arial" w:eastAsia="Arial" w:hAnsi="Arial"/>
          <w:color w:val="595959"/>
          <w:sz w:val="18"/>
          <w:szCs w:val="18"/>
        </w:rPr>
        <w:t xml:space="preserve">Google Analytics Certification (GA4)</w:t>
      </w:r>
    </w:p>
    <w:p>
      <w:pPr>
        <w:pStyle w:val="ListParagraph"/>
        <w:numPr>
          <w:ilvl w:val="0"/>
          <w:numId w:val="3"/>
        </w:numPr>
        <w:spacing w:after="20" w:before="20"/>
      </w:pPr>
      <w:r>
        <w:rPr>
          <w:rFonts w:ascii="Arial" w:cs="Arial" w:eastAsia="Arial" w:hAnsi="Arial"/>
          <w:color w:val="595959"/>
          <w:sz w:val="18"/>
          <w:szCs w:val="18"/>
        </w:rPr>
        <w:t xml:space="preserve">[Additional certification, e.g., AWS Cloud Practitioner, PMP]</w:t>
      </w:r>
    </w:p>
    <w:p>
      <w:pPr>
        <w:spacing w:after="0" w:before="80"/>
      </w:pPr>
    </w:p>
    <w:p>
      <w:pPr>
        <w:pStyle w:val="ListParagraph"/>
        <w:numPr>
          <w:ilvl w:val="0"/>
          <w:numId w:val="2"/>
        </w:numPr>
        <w:spacing w:after="40" w:before="40"/>
      </w:pPr>
      <w:r>
        <w:rPr>
          <w:rFonts w:ascii="Arial" w:cs="Arial" w:eastAsia="Arial" w:hAnsi="Arial"/>
          <w:b/>
          <w:bCs/>
          <w:color w:val="595959"/>
          <w:sz w:val="19"/>
          <w:szCs w:val="19"/>
        </w:rPr>
        <w:t xml:space="preserve">Languages &amp; Frameworks: </w:t>
      </w:r>
      <w:r>
        <w:rPr>
          <w:rFonts w:ascii="Arial" w:cs="Arial" w:eastAsia="Arial" w:hAnsi="Arial"/>
          <w:color w:val="595959"/>
          <w:sz w:val="19"/>
          <w:szCs w:val="19"/>
        </w:rPr>
        <w:t xml:space="preserve"/>
      </w:r>
    </w:p>
    <w:p>
      <w:pPr>
        <w:pStyle w:val="ListParagraph"/>
        <w:numPr>
          <w:ilvl w:val="0"/>
          <w:numId w:val="3"/>
        </w:numPr>
        <w:spacing w:after="20" w:before="20"/>
      </w:pPr>
      <w:r>
        <w:rPr>
          <w:rFonts w:ascii="Arial" w:cs="Arial" w:eastAsia="Arial" w:hAnsi="Arial"/>
          <w:color w:val="595959"/>
          <w:sz w:val="18"/>
          <w:szCs w:val="18"/>
        </w:rPr>
        <w:t xml:space="preserve">Python (pandas, numpy, scikit-learn, PySpark, statsmodels, DoWhy, PyCaret, H2O.ai, MLflow, FastAPI, Streamlit, Plotly)</w:t>
      </w:r>
    </w:p>
    <w:p>
      <w:pPr>
        <w:pStyle w:val="ListParagraph"/>
        <w:numPr>
          <w:ilvl w:val="0"/>
          <w:numId w:val="3"/>
        </w:numPr>
        <w:spacing w:after="20" w:before="20"/>
      </w:pPr>
      <w:r>
        <w:rPr>
          <w:rFonts w:ascii="Arial" w:cs="Arial" w:eastAsia="Arial" w:hAnsi="Arial"/>
          <w:color w:val="595959"/>
          <w:sz w:val="18"/>
          <w:szCs w:val="18"/>
        </w:rPr>
        <w:t xml:space="preserve">SQL (PostgreSQL, SQLite, SQL Server)  |  JavaScript / React (frontend)</w:t>
      </w:r>
    </w:p>
    <w:p>
      <w:pPr>
        <w:pStyle w:val="ListParagraph"/>
        <w:numPr>
          <w:ilvl w:val="0"/>
          <w:numId w:val="3"/>
        </w:numPr>
        <w:spacing w:after="20" w:before="20"/>
      </w:pPr>
      <w:r>
        <w:rPr>
          <w:rFonts w:ascii="Arial" w:cs="Arial" w:eastAsia="Arial" w:hAnsi="Arial"/>
          <w:color w:val="595959"/>
          <w:sz w:val="18"/>
          <w:szCs w:val="18"/>
        </w:rPr>
        <w:t xml:space="preserve">Cloud: Google Cloud Run  |  AWS EC2  |  Docker</w:t>
      </w:r>
    </w:p>
    <w:p>
      <w:pPr>
        <w:spacing w:after="0" w:before="80"/>
      </w:pPr>
    </w:p>
    <w:p>
      <w:pPr>
        <w:pStyle w:val="ListParagraph"/>
        <w:numPr>
          <w:ilvl w:val="0"/>
          <w:numId w:val="2"/>
        </w:numPr>
        <w:spacing w:after="40" w:before="40"/>
      </w:pPr>
      <w:r>
        <w:rPr>
          <w:rFonts w:ascii="Arial" w:cs="Arial" w:eastAsia="Arial" w:hAnsi="Arial"/>
          <w:b/>
          <w:bCs/>
          <w:color w:val="595959"/>
          <w:sz w:val="19"/>
          <w:szCs w:val="19"/>
        </w:rPr>
        <w:t xml:space="preserve">Analytics &amp; Audit Tools: </w:t>
      </w:r>
      <w:r>
        <w:rPr>
          <w:rFonts w:ascii="Arial" w:cs="Arial" w:eastAsia="Arial" w:hAnsi="Arial"/>
          <w:color w:val="595959"/>
          <w:sz w:val="19"/>
          <w:szCs w:val="19"/>
        </w:rPr>
        <w:t xml:space="preserve"/>
      </w:r>
    </w:p>
    <w:p>
      <w:pPr>
        <w:pStyle w:val="ListParagraph"/>
        <w:numPr>
          <w:ilvl w:val="0"/>
          <w:numId w:val="3"/>
        </w:numPr>
        <w:spacing w:after="20" w:before="20"/>
      </w:pPr>
      <w:r>
        <w:rPr>
          <w:rFonts w:ascii="Arial" w:cs="Arial" w:eastAsia="Arial" w:hAnsi="Arial"/>
          <w:color w:val="595959"/>
          <w:sz w:val="18"/>
          <w:szCs w:val="18"/>
        </w:rPr>
        <w:t xml:space="preserve">ACL Analytics  |  Power BI  |  Tableau  |  ServiceNow GRC  |  SAP  |  Oracle ERP</w:t>
      </w:r>
    </w:p>
    <w:p>
      <w:pPr>
        <w:pStyle w:val="ListParagraph"/>
        <w:numPr>
          <w:ilvl w:val="0"/>
          <w:numId w:val="3"/>
        </w:numPr>
        <w:spacing w:after="20" w:before="20"/>
      </w:pPr>
      <w:r>
        <w:rPr>
          <w:rFonts w:ascii="Arial" w:cs="Arial" w:eastAsia="Arial" w:hAnsi="Arial"/>
          <w:color w:val="595959"/>
          <w:sz w:val="18"/>
          <w:szCs w:val="18"/>
        </w:rPr>
        <w:t xml:space="preserve">GA4 / Google Analytics  |  MLflow  |  Jupyter  |  Git / GitHub</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2026-03-09T02:46:34.215Z</dcterms:created>
  <dcterms:modified xsi:type="dcterms:W3CDTF">2026-03-09T02:46:34.222Z</dcterms:modified>
</cp:coreProperties>
</file>

<file path=docProps/custom.xml><?xml version="1.0" encoding="utf-8"?>
<Properties xmlns="http://schemas.openxmlformats.org/officeDocument/2006/custom-properties" xmlns:vt="http://schemas.openxmlformats.org/officeDocument/2006/docPropsVTypes"/>
</file>