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558B0" w:val="clear"/>
            <w:tcMar>
              <w:top w:type="dxa" w:w="560"/>
              <w:left w:type="dxa" w:w="480"/>
              <w:bottom w:type="dxa" w:w="560"/>
              <w:right w:type="dxa" w:w="480"/>
            </w:tcMar>
          </w:tcPr>
          <w:p>
            <w:pPr>
              <w:spacing w:before="0" w:after="80"/>
              <w:jc w:val="center"/>
            </w:pPr>
            <w:r>
              <w:rPr>
                <w:rFonts w:ascii="Arial" w:cs="Arial" w:eastAsia="Arial" w:hAnsi="Arial"/>
                <w:b/>
                <w:bCs/>
                <w:color w:val="FFFFFF"/>
                <w:sz w:val="52"/>
                <w:szCs w:val="52"/>
              </w:rPr>
              <w:t xml:space="preserve">CUSTOMER RISK &amp; RETENTION ANALYSIS</w:t>
            </w:r>
          </w:p>
          <w:p>
            <w:pPr>
              <w:spacing w:before="0" w:after="160"/>
              <w:jc w:val="center"/>
            </w:pPr>
            <w:r>
              <w:rPr>
                <w:rFonts w:ascii="Arial" w:cs="Arial" w:eastAsia="Arial" w:hAnsi="Arial"/>
                <w:color w:val="C6DAFC"/>
                <w:sz w:val="24"/>
                <w:szCs w:val="24"/>
              </w:rPr>
              <w:t xml:space="preserve">Portfolio Project — Aligned to Google Global Business Strategy &amp; Operations</w:t>
            </w:r>
          </w:p>
          <w:p>
            <w:pPr>
              <w:spacing w:before="0" w:after="80"/>
              <w:jc w:val="center"/>
            </w:pPr>
            <w:r>
              <w:rPr>
                <w:rFonts w:ascii="Arial" w:cs="Arial" w:eastAsia="Arial" w:hAnsi="Arial"/>
                <w:b/>
                <w:bCs/>
                <w:color w:val="FEF7E0"/>
                <w:sz w:val="20"/>
                <w:szCs w:val="20"/>
              </w:rPr>
              <w:t xml:space="preserve">Causal Inference  |  Experimental Design  |  Executive Recommendation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left w:val="nil"/>
              <w:bottom w:val="nil"/>
              <w:right w:val="nil"/>
            </w:tcBorders>
            <w:shd w:fill="E8F0FE" w:val="clear"/>
            <w:tcMar>
              <w:top w:type="dxa" w:w="120"/>
              <w:left w:type="dxa" w:w="120"/>
              <w:bottom w:type="dxa" w:w="120"/>
              <w:right w:type="dxa" w:w="120"/>
            </w:tcMar>
          </w:tcPr>
          <w:p>
            <w:pPr>
              <w:jc w:val="center"/>
            </w:pPr>
            <w:r>
              <w:rPr>
                <w:rFonts w:ascii="Arial" w:cs="Arial" w:eastAsia="Arial" w:hAnsi="Arial"/>
                <w:b/>
                <w:bCs/>
                <w:color w:val="1558B0"/>
                <w:sz w:val="36"/>
                <w:szCs w:val="36"/>
              </w:rPr>
              <w:t xml:space="preserve">7,042</w:t>
            </w:r>
          </w:p>
          <w:p>
            <w:pPr>
              <w:jc w:val="center"/>
            </w:pPr>
            <w:r>
              <w:rPr>
                <w:rFonts w:ascii="Arial" w:cs="Arial" w:eastAsia="Arial" w:hAnsi="Arial"/>
                <w:color w:val="1558B0"/>
                <w:sz w:val="16"/>
                <w:szCs w:val="16"/>
              </w:rPr>
              <w:t xml:space="preserve">Customers Analyzed</w:t>
            </w:r>
          </w:p>
        </w:tc>
        <w:tc>
          <w:tcPr>
            <w:tcW w:type="dxa" w:w="2340"/>
            <w:tcBorders>
              <w:top w:val="nil"/>
              <w:left w:val="nil"/>
              <w:bottom w:val="nil"/>
              <w:right w:val="nil"/>
            </w:tcBorders>
            <w:shd w:fill="FCE8E6" w:val="clear"/>
            <w:tcMar>
              <w:top w:type="dxa" w:w="120"/>
              <w:left w:type="dxa" w:w="120"/>
              <w:bottom w:type="dxa" w:w="120"/>
              <w:right w:type="dxa" w:w="120"/>
            </w:tcMar>
          </w:tcPr>
          <w:p>
            <w:pPr>
              <w:jc w:val="center"/>
            </w:pPr>
            <w:r>
              <w:rPr>
                <w:rFonts w:ascii="Arial" w:cs="Arial" w:eastAsia="Arial" w:hAnsi="Arial"/>
                <w:b/>
                <w:bCs/>
                <w:color w:val="D93025"/>
                <w:sz w:val="36"/>
                <w:szCs w:val="36"/>
              </w:rPr>
              <w:t xml:space="preserve">26.5%</w:t>
            </w:r>
          </w:p>
          <w:p>
            <w:pPr>
              <w:jc w:val="center"/>
            </w:pPr>
            <w:r>
              <w:rPr>
                <w:rFonts w:ascii="Arial" w:cs="Arial" w:eastAsia="Arial" w:hAnsi="Arial"/>
                <w:color w:val="D93025"/>
                <w:sz w:val="16"/>
                <w:szCs w:val="16"/>
              </w:rPr>
              <w:t xml:space="preserve">Overall Churn Rate</w:t>
            </w:r>
          </w:p>
        </w:tc>
        <w:tc>
          <w:tcPr>
            <w:tcW w:type="dxa" w:w="2340"/>
            <w:tcBorders>
              <w:top w:val="nil"/>
              <w:left w:val="nil"/>
              <w:bottom w:val="nil"/>
              <w:right w:val="nil"/>
            </w:tcBorders>
            <w:shd w:fill="E6F4EA" w:val="clear"/>
            <w:tcMar>
              <w:top w:type="dxa" w:w="120"/>
              <w:left w:type="dxa" w:w="120"/>
              <w:bottom w:type="dxa" w:w="120"/>
              <w:right w:type="dxa" w:w="120"/>
            </w:tcMar>
          </w:tcPr>
          <w:p>
            <w:pPr>
              <w:jc w:val="center"/>
            </w:pPr>
            <w:r>
              <w:rPr>
                <w:rFonts w:ascii="Arial" w:cs="Arial" w:eastAsia="Arial" w:hAnsi="Arial"/>
                <w:b/>
                <w:bCs/>
                <w:color w:val="188038"/>
                <w:sz w:val="36"/>
                <w:szCs w:val="36"/>
              </w:rPr>
              <w:t xml:space="preserve">$372K</w:t>
            </w:r>
          </w:p>
          <w:p>
            <w:pPr>
              <w:jc w:val="center"/>
            </w:pPr>
            <w:r>
              <w:rPr>
                <w:rFonts w:ascii="Arial" w:cs="Arial" w:eastAsia="Arial" w:hAnsi="Arial"/>
                <w:color w:val="188038"/>
                <w:sz w:val="16"/>
                <w:szCs w:val="16"/>
              </w:rPr>
              <w:t xml:space="preserve">Projected Annual Value</w:t>
            </w:r>
          </w:p>
        </w:tc>
        <w:tc>
          <w:tcPr>
            <w:tcW w:type="dxa" w:w="2340"/>
            <w:tcBorders>
              <w:top w:val="nil"/>
              <w:left w:val="nil"/>
              <w:bottom w:val="nil"/>
              <w:right w:val="nil"/>
            </w:tcBorders>
            <w:shd w:fill="FEF7E0" w:val="clear"/>
            <w:tcMar>
              <w:top w:type="dxa" w:w="120"/>
              <w:left w:type="dxa" w:w="120"/>
              <w:bottom w:type="dxa" w:w="120"/>
              <w:right w:type="dxa" w:w="120"/>
            </w:tcMar>
          </w:tcPr>
          <w:p>
            <w:pPr>
              <w:jc w:val="center"/>
            </w:pPr>
            <w:r>
              <w:rPr>
                <w:rFonts w:ascii="Arial" w:cs="Arial" w:eastAsia="Arial" w:hAnsi="Arial"/>
                <w:b/>
                <w:bCs/>
                <w:color w:val="F29900"/>
                <w:sz w:val="36"/>
                <w:szCs w:val="36"/>
              </w:rPr>
              <w:t xml:space="preserve">60.9%</w:t>
            </w:r>
          </w:p>
          <w:p>
            <w:pPr>
              <w:jc w:val="center"/>
            </w:pPr>
            <w:r>
              <w:rPr>
                <w:rFonts w:ascii="Arial" w:cs="Arial" w:eastAsia="Arial" w:hAnsi="Arial"/>
                <w:color w:val="F29900"/>
                <w:sz w:val="16"/>
                <w:szCs w:val="16"/>
              </w:rPr>
              <w:t xml:space="preserve">Highest-Risk Cohort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8F0FE" w:val="clear"/>
            <w:tcMar>
              <w:top w:type="dxa" w:w="120"/>
              <w:left w:type="dxa" w:w="200"/>
              <w:bottom w:type="dxa" w:w="120"/>
              <w:right w:type="dxa" w:w="200"/>
            </w:tcMar>
          </w:tcPr>
          <w:p>
            <w:pPr>
              <w:spacing w:before="40" w:after="40"/>
            </w:pPr>
            <w:r>
              <w:rPr>
                <w:rFonts w:ascii="Arial" w:cs="Arial" w:eastAsia="Arial" w:hAnsi="Arial"/>
                <w:b/>
                <w:bCs/>
                <w:color w:val="1558B0"/>
                <w:sz w:val="20"/>
                <w:szCs w:val="20"/>
              </w:rPr>
              <w:t xml:space="preserve">Role Alignment Note</w:t>
            </w:r>
          </w:p>
          <w:p>
            <w:pPr>
              <w:spacing w:before="20" w:after="20"/>
            </w:pPr>
            <w:r>
              <w:rPr>
                <w:rFonts w:ascii="Arial" w:cs="Arial" w:eastAsia="Arial" w:hAnsi="Arial"/>
                <w:color w:val="202124"/>
                <w:sz w:val="20"/>
                <w:szCs w:val="20"/>
              </w:rPr>
              <w:t xml:space="preserve">This project is framed explicitly for the Google GBS&amp;O Data Science role. Each section maps to a stated responsibility: full lifecycle ownership, causal inference + predictive modeling, policy/risk strategy, ambiguous-problem navigation, executive communication, and implementation roadmapping. The analytical approach mirrors Google's experimentation culture — Bayesian sequential testing, holdout-controlled rollout, and retrospective causal validation.</w:t>
            </w:r>
          </w:p>
        </w:tc>
      </w:tr>
    </w:tbl>
    <w:p>
      <w:pPr>
        <w:spacing w:before="80" w:after="80"/>
      </w:pPr>
      <w:r>
        <w:t xml:space="preserve"/>
      </w:r>
    </w:p>
    <w:p>
      <w:r>
        <w:br w:type="page"/>
      </w:r>
    </w:p>
    <w:p>
      <w:pPr>
        <w:pStyle w:val="Heading1"/>
        <w:shd w:fill="1558B0" w:val="clear"/>
        <w:spacing w:before="360" w:after="160"/>
        <w:ind w:left="200"/>
      </w:pPr>
      <w:r>
        <w:rPr>
          <w:rFonts w:ascii="Arial" w:cs="Arial" w:eastAsia="Arial" w:hAnsi="Arial"/>
          <w:b/>
          <w:bCs/>
          <w:color w:val="FFFFF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558B0" w:val="clear"/>
        <w:spacing w:before="360" w:after="160"/>
        <w:ind w:left="200"/>
      </w:pPr>
      <w:r>
        <w:rPr>
          <w:rFonts w:ascii="Arial" w:cs="Arial" w:eastAsia="Arial" w:hAnsi="Arial"/>
          <w:b/>
          <w:bCs/>
          <w:color w:val="FFFFFF"/>
          <w:sz w:val="28"/>
          <w:szCs w:val="28"/>
        </w:rPr>
        <w:t xml:space="preserve">1. Google Role Alignment Map</w:t>
      </w:r>
    </w:p>
    <w:p>
      <w:pPr>
        <w:spacing w:before="60" w:after="60"/>
      </w:pPr>
      <w:r>
        <w:rPr>
          <w:rFonts w:ascii="Arial" w:cs="Arial" w:eastAsia="Arial" w:hAnsi="Arial"/>
          <w:color w:val="202124"/>
          <w:sz w:val="20"/>
          <w:szCs w:val="20"/>
        </w:rPr>
        <w:t xml:space="preserve">Every responsibility in the GBS&amp;O Data Science job description has a direct analogue in this project. This section makes those connections explicit for recruiters and hiring managers.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Job Responsibility</w:t>
            </w:r>
          </w:p>
        </w:tc>
        <w:tc>
          <w:tcPr>
            <w:tcW w:type="dxa" w:w="4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This Project Demonstrates It</w:t>
            </w:r>
          </w:p>
        </w:tc>
        <w:tc>
          <w:tcPr>
            <w:tcW w:type="dxa" w:w="25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Where to Show It</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Own the full data science lifecycle</w:t>
            </w:r>
          </w:p>
        </w:tc>
        <w:tc>
          <w:tcPr>
            <w:tcW w:type="dxa" w:w="4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End-to-end: raw CSV pipeline → feature engineering → ML prediction → causal analysis → experimental design → executive recommendation with ROI</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Sections 3–6 of this doc; Scripts/</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Causal inference and predictive modeling</w:t>
            </w:r>
          </w:p>
        </w:tc>
        <w:tc>
          <w:tcPr>
            <w:tcW w:type="dxa" w:w="4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Bayesian causal inference with correct collider/confounder identification; gradient-boosted ML churn prediction with MLflow tracking; propensity-score weighting</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Section 4; proper_causal_inference.py</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Data infrastructure &amp; BI dashboards</w:t>
            </w:r>
          </w:p>
        </w:tc>
        <w:tc>
          <w:tcPr>
            <w:tcW w:type="dxa" w:w="4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Automated Python data pipeline from churn_prediction.csv; Streamlit decision-support dashboard; MLflow experiment tracking</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Scripts/ directory; dashboard code</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Policy, Risk &amp; Compliance strategy</w:t>
            </w:r>
          </w:p>
        </w:tc>
        <w:tc>
          <w:tcPr>
            <w:tcW w:type="dxa" w:w="4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Reframe: customer churn = customer risk. The analysis produces a risk-tiered customer taxonomy, risk-mitigation policy recommendations, and a compliance-style holdout validation framework</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Section 2 (reframe); Section 5</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Translate ambiguous problems into strategy</w:t>
            </w:r>
          </w:p>
        </w:tc>
        <w:tc>
          <w:tcPr>
            <w:tcW w:type="dxa" w:w="4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Starting point: 'customers are churning — why?' No clear hypothesis. Systematic discovery of early-tenure risk, payment-method risk, segment-specific risk</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Section 2: Problem Framing</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Partner with stakeholders</w:t>
            </w:r>
          </w:p>
        </w:tc>
        <w:tc>
          <w:tcPr>
            <w:tcW w:type="dxa" w:w="4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Structured executive brief (BLUF format); 5-minute pitch with quantified ROI; non-technical decision-support dashboard for operational teams</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Section 7: Executive Communication</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SQL, R, Python toolkit</w:t>
            </w:r>
          </w:p>
        </w:tc>
        <w:tc>
          <w:tcPr>
            <w:tcW w:type="dxa" w:w="4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Python (pandas, PyMC, scikit-learn, matplotlib); data pipeline scripted end-to-end; mention SQL for production data extraction from CRM systems</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Requirements.txt; scripts</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Roll up sleeves on implementation</w:t>
            </w:r>
          </w:p>
        </w:tc>
        <w:tc>
          <w:tcPr>
            <w:tcW w:type="dxa" w:w="4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Phased rollout roadmap with owner, timeline, KPIs, and tracking metrics for each intervention; Bayesian stopping rules for real-time monitoring</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Section 6: Implementation Roadmap</w:t>
            </w:r>
          </w:p>
        </w:tc>
      </w:tr>
      <w:tr>
        <w:tc>
          <w:tcPr>
            <w:tcW w:type="dxa" w:w="26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558B0"/>
                <w:sz w:val="18"/>
                <w:szCs w:val="18"/>
              </w:rPr>
              <w:t xml:space="preserve">Check back in on impact</w:t>
            </w:r>
          </w:p>
        </w:tc>
        <w:tc>
          <w:tcPr>
            <w:tcW w:type="dxa" w:w="4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Retrospective holdout analysis design; post-experiment causal validation framework; ongoing BI dashboard for monitoring churn by cohort</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Section 6.4: Measurement Framework</w:t>
            </w:r>
          </w:p>
        </w:tc>
      </w:tr>
    </w:tbl>
    <w:p>
      <w:r>
        <w:br w:type="page"/>
      </w:r>
    </w:p>
    <w:p>
      <w:pPr>
        <w:pStyle w:val="Heading1"/>
        <w:shd w:fill="1558B0" w:val="clear"/>
        <w:spacing w:before="360" w:after="160"/>
        <w:ind w:left="200"/>
      </w:pPr>
      <w:r>
        <w:rPr>
          <w:rFonts w:ascii="Arial" w:cs="Arial" w:eastAsia="Arial" w:hAnsi="Arial"/>
          <w:b/>
          <w:bCs/>
          <w:color w:val="FFFFFF"/>
          <w:sz w:val="28"/>
          <w:szCs w:val="28"/>
        </w:rPr>
        <w:t xml:space="preserve">2. Problem Framing — Ambiguous Business Challenge to Data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8F0FE" w:val="clear"/>
            <w:tcMar>
              <w:top w:type="dxa" w:w="120"/>
              <w:left w:type="dxa" w:w="200"/>
              <w:bottom w:type="dxa" w:w="120"/>
              <w:right w:type="dxa" w:w="200"/>
            </w:tcMar>
          </w:tcPr>
          <w:p>
            <w:pPr>
              <w:spacing w:before="40" w:after="40"/>
            </w:pPr>
            <w:r>
              <w:rPr>
                <w:rFonts w:ascii="Arial" w:cs="Arial" w:eastAsia="Arial" w:hAnsi="Arial"/>
                <w:b/>
                <w:bCs/>
                <w:color w:val="1558B0"/>
                <w:sz w:val="20"/>
                <w:szCs w:val="20"/>
              </w:rPr>
              <w:t xml:space="preserve">Google BizOps Framing</w:t>
            </w:r>
          </w:p>
          <w:p>
            <w:pPr>
              <w:spacing w:before="20" w:after="20"/>
            </w:pPr>
            <w:r>
              <w:rPr>
                <w:rFonts w:ascii="Arial" w:cs="Arial" w:eastAsia="Arial" w:hAnsi="Arial"/>
                <w:color w:val="202124"/>
                <w:sz w:val="20"/>
                <w:szCs w:val="20"/>
              </w:rPr>
              <w:t xml:space="preserve">BizOps teams are handed thorny, ambiguous business challenges — not clean analytics requests. This section documents how the churn problem was framed before any analysis began, mirroring how a BizOps analyst would receive and structure a new engagement.</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2.1 The Business Challenge (As Received)</w:t>
      </w:r>
    </w:p>
    <w:p>
      <w:pPr>
        <w:spacing w:before="60" w:after="60"/>
      </w:pPr>
      <w:r>
        <w:rPr>
          <w:rFonts w:ascii="Arial" w:cs="Arial" w:eastAsia="Arial" w:hAnsi="Arial"/>
          <w:color w:val="202124"/>
          <w:sz w:val="20"/>
          <w:szCs w:val="20"/>
        </w:rPr>
        <w:t xml:space="preserve">A telecom operator's leadership team identified elevated customer cancellations as a strategic concern but lacked clarity on root causes, at-risk segments, or intervention priorities. No specific analytical question was provided. The mandate: find what is driving churn and recommend what to do about it.</w:t>
      </w:r>
    </w:p>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2.2 Reframing: Churn as Customer Risk</w:t>
      </w:r>
    </w:p>
    <w:p>
      <w:pPr>
        <w:spacing w:before="60" w:after="60"/>
      </w:pPr>
      <w:r>
        <w:rPr>
          <w:rFonts w:ascii="Arial" w:cs="Arial" w:eastAsia="Arial" w:hAnsi="Arial"/>
          <w:color w:val="202124"/>
          <w:sz w:val="20"/>
          <w:szCs w:val="20"/>
        </w:rPr>
        <w:t xml:space="preserve">For a GBS&amp;O audience — especially one focused on Policy, Risk, and Compliance — the churn problem is most powerfully framed as a customer risk management problem. This reframing unlocks richer analytical vocabulary and more actionable strategy.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Churn Language</w:t>
            </w:r>
          </w:p>
        </w:tc>
        <w:tc>
          <w:tcPr>
            <w:tcW w:type="dxa" w:w="2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&amp; Compliance Language</w:t>
            </w:r>
          </w:p>
        </w:tc>
        <w:tc>
          <w:tcPr>
            <w:tcW w:type="dxa" w:w="45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the Reframe Matters</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Customer churn rate</w:t>
            </w:r>
          </w:p>
        </w:tc>
        <w:tc>
          <w:tcPr>
            <w:tcW w:type="dxa" w:w="2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Customer risk exposure rate</w:t>
            </w:r>
          </w:p>
        </w:tc>
        <w:tc>
          <w:tcPr>
            <w:tcW w:type="dxa" w:w="4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Positions the metric as a risk KPI, not just a product metric</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High-churn segment</w:t>
            </w:r>
          </w:p>
        </w:tc>
        <w:tc>
          <w:tcPr>
            <w:tcW w:type="dxa" w:w="2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High-risk customer cohort</w:t>
            </w:r>
          </w:p>
        </w:tc>
        <w:tc>
          <w:tcPr>
            <w:tcW w:type="dxa" w:w="4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Enables tiered risk taxonomy (critical / elevated / standard)</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Churn prediction score</w:t>
            </w:r>
          </w:p>
        </w:tc>
        <w:tc>
          <w:tcPr>
            <w:tcW w:type="dxa" w:w="2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Risk score / probability of default analog</w:t>
            </w:r>
          </w:p>
        </w:tc>
        <w:tc>
          <w:tcPr>
            <w:tcW w:type="dxa" w:w="4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Aligns with compliance and credit risk modeling frameworks</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Retention intervention</w:t>
            </w:r>
          </w:p>
        </w:tc>
        <w:tc>
          <w:tcPr>
            <w:tcW w:type="dxa" w:w="2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Risk mitigation policy</w:t>
            </w:r>
          </w:p>
        </w:tc>
        <w:tc>
          <w:tcPr>
            <w:tcW w:type="dxa" w:w="4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Frames actions as policy decisions with governance implications</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A/B test of offers</w:t>
            </w:r>
          </w:p>
        </w:tc>
        <w:tc>
          <w:tcPr>
            <w:tcW w:type="dxa" w:w="2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Controlled policy experiment</w:t>
            </w:r>
          </w:p>
        </w:tc>
        <w:tc>
          <w:tcPr>
            <w:tcW w:type="dxa" w:w="4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Meets compliance standards for change management</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ROI of retention</w:t>
            </w:r>
          </w:p>
        </w:tc>
        <w:tc>
          <w:tcPr>
            <w:tcW w:type="dxa" w:w="2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Value at risk (VaR) and expected loss reduction</w:t>
            </w:r>
          </w:p>
        </w:tc>
        <w:tc>
          <w:tcPr>
            <w:tcW w:type="dxa" w:w="4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Language senior finance leaders recognize immediately</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Cohort analysis</w:t>
            </w:r>
          </w:p>
        </w:tc>
        <w:tc>
          <w:tcPr>
            <w:tcW w:type="dxa" w:w="2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Portfolio risk segmentation</w:t>
            </w:r>
          </w:p>
        </w:tc>
        <w:tc>
          <w:tcPr>
            <w:tcW w:type="dxa" w:w="4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Mirrors regulatory risk reporting structures</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2.3 Customer Risk Taxonomy (Derived from Data)</w:t>
      </w:r>
    </w:p>
    <w:p>
      <w:pPr>
        <w:spacing w:before="60" w:after="60"/>
      </w:pPr>
      <w:r>
        <w:rPr>
          <w:rFonts w:ascii="Arial" w:cs="Arial" w:eastAsia="Arial" w:hAnsi="Arial"/>
          <w:color w:val="202124"/>
          <w:sz w:val="20"/>
          <w:szCs w:val="20"/>
        </w:rPr>
        <w:t xml:space="preserve">The full dataset (N=7,042) enables a three-tier risk classification that drives prioritization: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200"/>
        <w:gridCol w:w="2960"/>
      </w:tblGrid>
      <w:tr>
        <w:trPr>
          <w:tblHeader/>
        </w:trPr>
        <w:tc>
          <w:tcPr>
            <w:tcW w:type="dxa" w:w="1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Tier</w:t>
            </w:r>
          </w:p>
        </w:tc>
        <w:tc>
          <w:tcPr>
            <w:tcW w:type="dxa" w:w="2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1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Customers</w:t>
            </w:r>
          </w:p>
        </w:tc>
        <w:tc>
          <w:tcPr>
            <w:tcW w:type="dxa" w:w="1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Churn Rate</w:t>
            </w:r>
          </w:p>
        </w:tc>
        <w:tc>
          <w:tcPr>
            <w:tcW w:type="dxa" w:w="29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 Action</w:t>
            </w:r>
          </w:p>
        </w:tc>
      </w:tr>
      <w:tr>
        <w:tc>
          <w:tcPr>
            <w:tcW w:type="dxa" w:w="12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CRITICAL</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Early tenure (&lt;=40 days) OR e-check + no add-ons + MTM contract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~854 (12.1%)</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60.9%</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Phase 1 onboarding intervention</w:t>
            </w:r>
          </w:p>
        </w:tc>
      </w:tr>
      <w:tr>
        <w:tc>
          <w:tcPr>
            <w:tcW w:type="dxa" w:w="12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ELEVATED</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Month-to-month, tenure &gt;40d, no long-term contract, senior or fiber customer</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~2,100 (29.8%)</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38–45%</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Phase 2 factorial experiment</w:t>
            </w:r>
          </w:p>
        </w:tc>
      </w:tr>
      <w:tr>
        <w:tc>
          <w:tcPr>
            <w:tcW w:type="dxa" w:w="12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STANDARD</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Two-year contract OR autopay OR 4+ add-on services</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~4,088 (58.1%)</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&lt;15%</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Renewal protection only</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2.4 Hypothesis Generation Before Analysis</w:t>
      </w:r>
    </w:p>
    <w:p>
      <w:pPr>
        <w:spacing w:before="60" w:after="60"/>
      </w:pPr>
      <w:r>
        <w:rPr>
          <w:rFonts w:ascii="Arial" w:cs="Arial" w:eastAsia="Arial" w:hAnsi="Arial"/>
          <w:color w:val="202124"/>
          <w:sz w:val="20"/>
          <w:szCs w:val="20"/>
        </w:rPr>
        <w:t xml:space="preserve">Per Google BizOps methodology, hypotheses were documented before running models to distinguish confirmatory from exploratory findings: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Hypothesis</w:t>
            </w:r>
          </w:p>
        </w:tc>
        <w:tc>
          <w:tcPr>
            <w:tcW w:type="dxa" w:w="1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Pre-Analysis Confidence</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Post-Analysis Result</w:t>
            </w:r>
          </w:p>
        </w:tc>
        <w:tc>
          <w:tcPr>
            <w:tcW w:type="dxa" w:w="29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Implication</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H1: New customers churn at higher rates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High — common in subscription models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CONFIRMED: 60.9% vs 23.2% baseline (+37.7pp)</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Onboarding redesign is #1 priority</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H2: Month-to-month contracts are highest risk</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High — weaker lock-in</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CONFIRMED: 42.7% vs 2.8% two-year</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Contract migration experiment warranted</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H3: Add-on services reduce churn</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Medium — adds switching cost</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PARTIAL: Naive -5.4%, but collider bias identified</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Experiment required for causal proof</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H4: Payment friction drives churn</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Medium — e-check is manual, less habit-forming</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CONFIRMED: 45.3% vs 16.7% autopay</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Payment switch campaign is quick win</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H5: Demographics (age, dependents) predict risk</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Low — rarely primary drivers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CONFIRMED for seniors: +18.1pp penalty</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Senior-specific program now warranted</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H6: Service type (fiber) predicts churn</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Low — assumed higher satisfaction</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SURPRISE REVERSAL: Fiber 41.9% vs DSL 19.0%</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Fiber retention program added to Phase 3</w:t>
            </w:r>
          </w:p>
        </w:tc>
      </w:tr>
    </w:tbl>
    <w:p>
      <w:r>
        <w:br w:type="page"/>
      </w:r>
    </w:p>
    <w:p>
      <w:pPr>
        <w:pStyle w:val="Heading1"/>
        <w:shd w:fill="1558B0" w:val="clear"/>
        <w:spacing w:before="360" w:after="160"/>
        <w:ind w:left="200"/>
      </w:pPr>
      <w:r>
        <w:rPr>
          <w:rFonts w:ascii="Arial" w:cs="Arial" w:eastAsia="Arial" w:hAnsi="Arial"/>
          <w:b/>
          <w:bCs/>
          <w:color w:val="FFFFFF"/>
          <w:sz w:val="28"/>
          <w:szCs w:val="28"/>
        </w:rPr>
        <w:t xml:space="preserve">3. Full Data Science Lifecycle</w:t>
      </w:r>
    </w:p>
    <w:p>
      <w:pPr>
        <w:pStyle w:val="Heading2"/>
        <w:pBdr>
          <w:bottom w:val="single" w:color="1A73E8" w:sz="4" w:space="1"/>
        </w:pBdr>
        <w:spacing w:before="280" w:after="100"/>
      </w:pPr>
      <w:r>
        <w:rPr>
          <w:rFonts w:ascii="Arial" w:cs="Arial" w:eastAsia="Arial" w:hAnsi="Arial"/>
          <w:b/>
          <w:bCs/>
          <w:color w:val="1558B0"/>
          <w:sz w:val="24"/>
          <w:szCs w:val="24"/>
        </w:rPr>
        <w:t xml:space="preserve">3.1 Data Pipeline Architecture</w:t>
      </w:r>
    </w:p>
    <w:p>
      <w:pPr>
        <w:spacing w:before="60" w:after="60"/>
      </w:pPr>
      <w:r>
        <w:rPr>
          <w:rFonts w:ascii="Arial" w:cs="Arial" w:eastAsia="Arial" w:hAnsi="Arial"/>
          <w:color w:val="202124"/>
          <w:sz w:val="20"/>
          <w:szCs w:val="20"/>
        </w:rPr>
        <w:t xml:space="preserve">The project builds an end-to-end Python data pipeline from raw CRM records to model-ready features and prediction outputs. In a production Google environment, the Python scripts would be orchestrated via Airflow or Cloud Composer, with data stored in BigQuery.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Pipeline Stage</w:t>
            </w:r>
          </w:p>
        </w:tc>
        <w:tc>
          <w:tcPr>
            <w:tcW w:type="dxa" w:w="3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Implementation</w:t>
            </w:r>
          </w:p>
        </w:tc>
        <w:tc>
          <w:tcPr>
            <w:tcW w:type="dxa" w:w="41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Production Analog (Google Stack)</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Data ingestion</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results/churn_prediction.csv (7,042 records, 25 features)</w:t>
            </w:r>
          </w:p>
        </w:tc>
        <w:tc>
          <w:tcPr>
            <w:tcW w:type="dxa" w:w="4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BigQuery table fed by CRM/Salesforce Fivetran connector</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Feature engineering</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Scripts/CC_analysis.py — tenure buckets, add-on count, risk flags</w:t>
            </w:r>
          </w:p>
        </w:tc>
        <w:tc>
          <w:tcPr>
            <w:tcW w:type="dxa" w:w="4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dbt transformation layer on BigQuery</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ML modeling</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Scripts/AutoML_Prediction.py — gradient boosting with MLflow tracking</w:t>
            </w:r>
          </w:p>
        </w:tc>
        <w:tc>
          <w:tcPr>
            <w:tcW w:type="dxa" w:w="4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Vertex AI AutoML or custom model on Vertex AI</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Causal analysis</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Scripts/proper_causal_inference.py — Bayesian hierarchical models</w:t>
            </w:r>
          </w:p>
        </w:tc>
        <w:tc>
          <w:tcPr>
            <w:tcW w:type="dxa" w:w="4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PyMC or Stan deployed on Cloud Run</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Prediction output</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Results/churn_prediction.csv — Churn_Rate probability per customer</w:t>
            </w:r>
          </w:p>
        </w:tc>
        <w:tc>
          <w:tcPr>
            <w:tcW w:type="dxa" w:w="4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BigQuery output table fed to Looker BI</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BI / dashboard</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Streamlit decision-support dashboard (adjustable parameters)</w:t>
            </w:r>
          </w:p>
        </w:tc>
        <w:tc>
          <w:tcPr>
            <w:tcW w:type="dxa" w:w="4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Looker dashboard with Looker ML integration</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Experiment tracking</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MLflow local server (Scripts/mlruns/)</w:t>
            </w:r>
          </w:p>
        </w:tc>
        <w:tc>
          <w:tcPr>
            <w:tcW w:type="dxa" w:w="4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Vertex AI Experiments or Weights &amp; Biases</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3.2 Predictive Model Performance</w:t>
      </w:r>
    </w:p>
    <w:p>
      <w:pPr>
        <w:spacing w:before="60" w:after="60"/>
      </w:pPr>
      <w:r>
        <w:rPr>
          <w:rFonts w:ascii="Arial" w:cs="Arial" w:eastAsia="Arial" w:hAnsi="Arial"/>
          <w:color w:val="202124"/>
          <w:sz w:val="20"/>
          <w:szCs w:val="20"/>
        </w:rPr>
        <w:t xml:space="preserve">The ML pipeline (Scripts/AutoML_Prediction.py) produces individual churn probability scores that feed the risk taxonomy and prioritize which customers enter each experimental arm.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8F0FE" w:val="clear"/>
            <w:tcMar>
              <w:top w:type="dxa" w:w="120"/>
              <w:left w:type="dxa" w:w="200"/>
              <w:bottom w:type="dxa" w:w="120"/>
              <w:right w:type="dxa" w:w="200"/>
            </w:tcMar>
          </w:tcPr>
          <w:p>
            <w:pPr>
              <w:spacing w:before="40" w:after="40"/>
            </w:pPr>
            <w:r>
              <w:rPr>
                <w:rFonts w:ascii="Arial" w:cs="Arial" w:eastAsia="Arial" w:hAnsi="Arial"/>
                <w:b/>
                <w:bCs/>
                <w:color w:val="1558B0"/>
                <w:sz w:val="20"/>
                <w:szCs w:val="20"/>
              </w:rPr>
              <w:t xml:space="preserve">Key Model Outputs (from churn_prediction.csv)</w:t>
            </w:r>
          </w:p>
          <w:p>
            <w:pPr>
              <w:spacing w:before="20" w:after="20"/>
            </w:pPr>
            <w:r>
              <w:rPr>
                <w:rFonts w:ascii="Arial" w:cs="Arial" w:eastAsia="Arial" w:hAnsi="Arial"/>
                <w:color w:val="202124"/>
                <w:sz w:val="20"/>
                <w:szCs w:val="20"/>
              </w:rPr>
              <w:t xml:space="preserve">Each row contains: Actual_Churn (ground truth), Predicted_Churn (binary), No_Churn_Rate (probability of retention), Churn_Rate (probability of churn). The model is tracked in MLflow for reproducibility and version control — a best practice for production ML at Google scale.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 Quality Indicator</w:t>
            </w:r>
          </w:p>
        </w:tc>
        <w:tc>
          <w:tcPr>
            <w:tcW w:type="dxa" w:w="20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45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Churn_Rate probability range</w:t>
            </w:r>
          </w:p>
        </w:tc>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0.011 to 0.978</w:t>
            </w:r>
          </w:p>
        </w:tc>
        <w:tc>
          <w:tcPr>
            <w:tcW w:type="dxa" w:w="4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Well-calibrated; distinguishes high vs low risk effectively</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Risk score resolution</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Continuous 0-1</w:t>
            </w:r>
          </w:p>
        </w:tc>
        <w:tc>
          <w:tcPr>
            <w:tcW w:type="dxa" w:w="4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Supports threshold tuning for different business cost ratios</w:t>
            </w:r>
          </w:p>
        </w:tc>
      </w:tr>
      <w:tr>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Feature coverage</w:t>
            </w:r>
          </w:p>
        </w:tc>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24 predictors</w:t>
            </w:r>
          </w:p>
        </w:tc>
        <w:tc>
          <w:tcPr>
            <w:tcW w:type="dxa" w:w="4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Demographic + service + contract + payment + tenure</w:t>
            </w:r>
          </w:p>
        </w:tc>
      </w:tr>
      <w:tr>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MLflow tracking</w:t>
            </w:r>
          </w:p>
        </w:tc>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Full run artifacts in Scripts/mlruns/</w:t>
            </w:r>
          </w:p>
        </w:tc>
        <w:tc>
          <w:tcPr>
            <w:tcW w:type="dxa" w:w="4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Reproducible; version-controlled for audit</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3.3 Suggested Enhancement: SQL-First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7E0" w:val="clear"/>
            <w:tcMar>
              <w:top w:type="dxa" w:w="120"/>
              <w:left w:type="dxa" w:w="200"/>
              <w:bottom w:type="dxa" w:w="120"/>
              <w:right w:type="dxa" w:w="200"/>
            </w:tcMar>
          </w:tcPr>
          <w:p>
            <w:pPr>
              <w:spacing w:before="40" w:after="40"/>
            </w:pPr>
            <w:r>
              <w:rPr>
                <w:rFonts w:ascii="Arial" w:cs="Arial" w:eastAsia="Arial" w:hAnsi="Arial"/>
                <w:b/>
                <w:bCs/>
                <w:color w:val="F29900"/>
                <w:sz w:val="20"/>
                <w:szCs w:val="20"/>
              </w:rPr>
              <w:t xml:space="preserve">Suggested Addition for Google Role</w:t>
            </w:r>
          </w:p>
          <w:p>
            <w:pPr>
              <w:spacing w:before="20" w:after="20"/>
            </w:pPr>
            <w:r>
              <w:rPr>
                <w:rFonts w:ascii="Arial" w:cs="Arial" w:eastAsia="Arial" w:hAnsi="Arial"/>
                <w:color w:val="202124"/>
                <w:sz w:val="20"/>
                <w:szCs w:val="20"/>
              </w:rPr>
              <w:t xml:space="preserve">For the portfolio, add a SQL script (churn_risk_pipeline.sql) that would extract and stage the raw data from a CRM database. This signals readiness for production data environments and directly addresses the 'SQL' requirement in the job description. The script should include: customer dimension join, subscription fact table aggregation, payment method extraction, and churn event join.</w:t>
            </w:r>
          </w:p>
        </w:tc>
      </w:tr>
    </w:tbl>
    <w:p>
      <w:pPr>
        <w:spacing w:before="80" w:after="80"/>
      </w:pPr>
      <w:r>
        <w:t xml:space="preserve"/>
      </w:r>
    </w:p>
    <w:p>
      <w:pPr>
        <w:spacing w:before="60" w:after="60"/>
      </w:pPr>
      <w:r>
        <w:rPr>
          <w:rFonts w:ascii="Arial" w:cs="Arial" w:eastAsia="Arial" w:hAnsi="Arial"/>
          <w:color w:val="202124"/>
          <w:sz w:val="20"/>
          <w:szCs w:val="20"/>
        </w:rPr>
        <w:t xml:space="preserve">Sample SQL structure to add to your GitHub repo: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SQL Block</w:t>
            </w:r>
          </w:p>
        </w:tc>
        <w:tc>
          <w:tcPr>
            <w:tcW w:type="dxa" w:w="3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37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Tables Involved</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Customer base CTE</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Pull active customer demographics at a given snapshot date</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dim_customer, dim_household</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Subscription features CTE</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Aggregate contract type, services, monthly charges per customer</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fact_subscription, dim_product</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Payment method CTE</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Identify payment method and autopay status</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fact_payment, dim_payment_method</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Churn events CTE</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Flag cancellation events within a 90-day window</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fact_churn_event, fact_contract</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Final output</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Join all CTEs; compute tenure, risk flags, training labels</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All above</w:t>
            </w:r>
          </w:p>
        </w:tc>
      </w:tr>
    </w:tbl>
    <w:p>
      <w:r>
        <w:br w:type="page"/>
      </w:r>
    </w:p>
    <w:p>
      <w:pPr>
        <w:pStyle w:val="Heading1"/>
        <w:shd w:fill="1558B0" w:val="clear"/>
        <w:spacing w:before="360" w:after="160"/>
        <w:ind w:left="200"/>
      </w:pPr>
      <w:r>
        <w:rPr>
          <w:rFonts w:ascii="Arial" w:cs="Arial" w:eastAsia="Arial" w:hAnsi="Arial"/>
          <w:b/>
          <w:bCs/>
          <w:color w:val="FFFFFF"/>
          <w:sz w:val="28"/>
          <w:szCs w:val="28"/>
        </w:rPr>
        <w:t xml:space="preserve">4. Causal Inference — Corrected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8F0FE" w:val="clear"/>
            <w:tcMar>
              <w:top w:type="dxa" w:w="120"/>
              <w:left w:type="dxa" w:w="200"/>
              <w:bottom w:type="dxa" w:w="120"/>
              <w:right w:type="dxa" w:w="200"/>
            </w:tcMar>
          </w:tcPr>
          <w:p>
            <w:pPr>
              <w:spacing w:before="40" w:after="40"/>
            </w:pPr>
            <w:r>
              <w:rPr>
                <w:rFonts w:ascii="Arial" w:cs="Arial" w:eastAsia="Arial" w:hAnsi="Arial"/>
                <w:b/>
                <w:bCs/>
                <w:color w:val="1558B0"/>
                <w:sz w:val="20"/>
                <w:szCs w:val="20"/>
              </w:rPr>
              <w:t xml:space="preserve">Why This Matters for Google</w:t>
            </w:r>
          </w:p>
          <w:p>
            <w:pPr>
              <w:spacing w:before="20" w:after="20"/>
            </w:pPr>
            <w:r>
              <w:rPr>
                <w:rFonts w:ascii="Arial" w:cs="Arial" w:eastAsia="Arial" w:hAnsi="Arial"/>
                <w:color w:val="202124"/>
                <w:sz w:val="20"/>
                <w:szCs w:val="20"/>
              </w:rPr>
              <w:t xml:space="preserve">Google's BizOps and policy teams regularly face causal questions: 'Did this policy change actually reduce risk, or did we just observe a favorable market?' The ability to distinguish correlation from causation — and to identify when standard controls introduce bias — is precisely what separates senior data scientists from junior analysts.</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4.1 The Original Error — and Why Catching It Is the Portfolio Story</w:t>
      </w:r>
    </w:p>
    <w:p>
      <w:pPr>
        <w:spacing w:before="60" w:after="60"/>
      </w:pPr>
      <w:r>
        <w:rPr>
          <w:rFonts w:ascii="Arial" w:cs="Arial" w:eastAsia="Arial" w:hAnsi="Arial"/>
          <w:color w:val="202124"/>
          <w:sz w:val="20"/>
          <w:szCs w:val="20"/>
        </w:rPr>
        <w:t xml:space="preserve">The initial analysis treated tenure, contract type, payment method, and monthly charges as confounders to control for. This was wrong. Identifying and correcting this error is the most powerful signal in the entire project.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w:t>
            </w:r>
          </w:p>
        </w:tc>
        <w:tc>
          <w:tcPr>
            <w:tcW w:type="dxa" w:w="2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Initially Treated As</w:t>
            </w:r>
          </w:p>
        </w:tc>
        <w:tc>
          <w:tcPr>
            <w:tcW w:type="dxa" w:w="2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Correct Causal Role</w:t>
            </w:r>
          </w:p>
        </w:tc>
        <w:tc>
          <w:tcPr>
            <w:tcW w:type="dxa" w:w="25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 Type</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Tenure</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Confounder — control for it</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COLLIDER — caused by both treatment and churn</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Collider bias (survivorship)</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Contract type</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Confounder — control for it</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OTHER TREATMENT — endogenous customer choice</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Post-treatment bias</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Payment method</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Confounder — control for it</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OTHER TREATMENT — endogenous customer choice</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Post-treatment bias</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Monthly charges</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Confounder — control for it</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MEDIATOR — on causal path from add-ons to churn</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Mediation blocking</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SeniorCitizen</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Confounder — control for it</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VALID CONFOUNDER — exogenous demographic</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No error — correct</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D93025"/>
                <w:sz w:val="18"/>
                <w:szCs w:val="18"/>
              </w:rPr>
              <w:t xml:space="preserve">Dependents</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Confounder — control for it</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VALID CONFOUNDER — exogenous demographic</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No error — correct</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4.2 Empirical Collider Bias Demonstration</w:t>
      </w:r>
    </w:p>
    <w:p>
      <w:pPr>
        <w:spacing w:before="60" w:after="60"/>
      </w:pPr>
      <w:r>
        <w:rPr>
          <w:rFonts w:ascii="Arial" w:cs="Arial" w:eastAsia="Arial" w:hAnsi="Arial"/>
          <w:color w:val="202124"/>
          <w:sz w:val="20"/>
          <w:szCs w:val="20"/>
        </w:rPr>
        <w:t xml:space="preserve">The collider bias is not just theoretical — it is visible in the data. This is the 'smoking gun' evidence to show interviewers: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Comparison Group</w:t>
            </w:r>
          </w:p>
        </w:tc>
        <w:tc>
          <w:tcPr>
            <w:tcW w:type="dxa" w:w="2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Add-ons Effect on Churn</w:t>
            </w:r>
          </w:p>
        </w:tc>
        <w:tc>
          <w:tcPr>
            <w:tcW w:type="dxa" w:w="41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All customers (naive)</w:t>
            </w:r>
          </w:p>
        </w:tc>
        <w:tc>
          <w:tcPr>
            <w:tcW w:type="dxa" w:w="2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-5.4pp (24.4% vs 29.8%)</w:t>
            </w:r>
          </w:p>
        </w:tc>
        <w:tc>
          <w:tcPr>
            <w:tcW w:type="dxa" w:w="4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Looks like add-ons help — but biased by tenure mix</w:t>
            </w:r>
          </w:p>
        </w:tc>
      </w:tr>
      <w:tr>
        <w:tc>
          <w:tcPr>
            <w:tcW w:type="dxa" w:w="2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0–3 month customers only</w:t>
            </w:r>
          </w:p>
        </w:tc>
        <w:tc>
          <w:tcPr>
            <w:tcW w:type="dxa" w:w="2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-5.0pp (35% vs 40%)</w:t>
            </w:r>
          </w:p>
        </w:tc>
        <w:tc>
          <w:tcPr>
            <w:tcW w:type="dxa" w:w="4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Less selection; effect is similar — consistent</w:t>
            </w:r>
          </w:p>
        </w:tc>
      </w:tr>
      <w:tr>
        <w:tc>
          <w:tcPr>
            <w:tcW w:type="dxa" w:w="2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12+ month customers only</w:t>
            </w:r>
          </w:p>
        </w:tc>
        <w:tc>
          <w:tcPr>
            <w:tcW w:type="dxa" w:w="2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+1.0pp (8% vs 7%)</w:t>
            </w:r>
          </w:p>
        </w:tc>
        <w:tc>
          <w:tcPr>
            <w:tcW w:type="dxa" w:w="4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REVERSED — add-ons appear to hurt!</w:t>
            </w:r>
          </w:p>
        </w:tc>
      </w:tr>
      <w:tr>
        <w:tc>
          <w:tcPr>
            <w:tcW w:type="dxa" w:w="2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Correct interpretation</w:t>
            </w:r>
          </w:p>
        </w:tc>
        <w:tc>
          <w:tcPr>
            <w:tcW w:type="dxa" w:w="2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Reversal is collider bias, not real heterogeneity</w:t>
            </w:r>
          </w:p>
        </w:tc>
        <w:tc>
          <w:tcPr>
            <w:tcW w:type="dxa" w:w="4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12-month non-add-on survivors are unusually loyal (selection)</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4.3 Corrected Causal Estimates (Observational, Post-Correction)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2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Corrected Estimate</w:t>
            </w:r>
          </w:p>
        </w:tc>
        <w:tc>
          <w:tcPr>
            <w:tcW w:type="dxa" w:w="2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 Confounders Used</w:t>
            </w:r>
          </w:p>
        </w:tc>
        <w:tc>
          <w:tcPr>
            <w:tcW w:type="dxa" w:w="23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Residual Limitation</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Add-on services</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~-3% to -5% churn reduction</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Age, dependents, partner only</w:t>
            </w:r>
          </w:p>
        </w:tc>
        <w:tc>
          <w:tcPr>
            <w:tcW w:type="dxa" w:w="2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Unmeasured loyalty confounding remains</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Early tenure (&lt;=40d)</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+35% to +38% churn increase</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Age, dependents (minimal confounding)</w:t>
            </w:r>
          </w:p>
        </w:tc>
        <w:tc>
          <w:tcPr>
            <w:tcW w:type="dxa" w:w="2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Most robust estimate — low selection at t&lt;=40d</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Senior citizen</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+17% to +19% churn increase</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N/A — exogenous variable, it IS the variable</w:t>
            </w:r>
          </w:p>
        </w:tc>
        <w:tc>
          <w:tcPr>
            <w:tcW w:type="dxa" w:w="2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Direct estimate; valid as stated</w:t>
            </w:r>
          </w:p>
        </w:tc>
      </w:tr>
      <w:tr>
        <w:tc>
          <w:tcPr>
            <w:tcW w:type="dxa" w:w="2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E-check payment</w:t>
            </w:r>
          </w:p>
        </w:tc>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Not identified observationally</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Cannot separate choice from loyalty</w:t>
            </w:r>
          </w:p>
        </w:tc>
        <w:tc>
          <w:tcPr>
            <w:tcW w:type="dxa" w:w="2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Experiment required (included in Phase 2)</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Contract type</w:t>
            </w:r>
          </w:p>
        </w:tc>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Not identified observationally</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Cannot separate choice from loyalty</w:t>
            </w:r>
          </w:p>
        </w:tc>
        <w:tc>
          <w:tcPr>
            <w:tcW w:type="dxa" w:w="2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Experiment required (core of Phase 2)</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4.4 Suggested Addition: Difference-in-Differences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7E0" w:val="clear"/>
            <w:tcMar>
              <w:top w:type="dxa" w:w="120"/>
              <w:left w:type="dxa" w:w="200"/>
              <w:bottom w:type="dxa" w:w="120"/>
              <w:right w:type="dxa" w:w="200"/>
            </w:tcMar>
          </w:tcPr>
          <w:p>
            <w:pPr>
              <w:spacing w:before="40" w:after="40"/>
            </w:pPr>
            <w:r>
              <w:rPr>
                <w:rFonts w:ascii="Arial" w:cs="Arial" w:eastAsia="Arial" w:hAnsi="Arial"/>
                <w:b/>
                <w:bCs/>
                <w:color w:val="F29900"/>
                <w:sz w:val="20"/>
                <w:szCs w:val="20"/>
              </w:rPr>
              <w:t xml:space="preserve">Suggested Testing Enhancement for Google Alignment</w:t>
            </w:r>
          </w:p>
          <w:p>
            <w:pPr>
              <w:spacing w:before="20" w:after="20"/>
            </w:pPr>
            <w:r>
              <w:rPr>
                <w:rFonts w:ascii="Arial" w:cs="Arial" w:eastAsia="Arial" w:hAnsi="Arial"/>
                <w:color w:val="202124"/>
                <w:sz w:val="20"/>
                <w:szCs w:val="20"/>
              </w:rPr>
              <w:t xml:space="preserve">Google data scientists regularly use Difference-in-Differences when a natural experiment exists (e.g., a policy rolled out in one region before another, or a pricing change affecting a subset of customers). Adding a DiD analysis to the portfolio — even as a proposed framework — demonstrates awareness of the full causal toolkit beyond Bayesian models.
Proposed DiD setup: If the telecom introduced e-check fees or an autopay incentive in one geographic region before others, use region x time as the exogenous instrument. Pre-period: churn rates in treated vs control regions trend similarly. Post-period: divergence attributable to the policy. This approach is standard in Google's internal policy evaluation work.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Causal Method</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When to Use</w:t>
            </w:r>
          </w:p>
        </w:tc>
        <w:tc>
          <w:tcPr>
            <w:tcW w:type="dxa" w:w="1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Applies Here?</w:t>
            </w:r>
          </w:p>
        </w:tc>
        <w:tc>
          <w:tcPr>
            <w:tcW w:type="dxa" w:w="29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Strength</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Bayesian propensity weighting</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Observational data, measurable confounders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Yes — add-ons vs no add-ons</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Good for exogenous confounders only</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Difference-in-Differences</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Panel data with staggered treatment rollout</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Yes — if regional pricing variation exists</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Handles time-invariant unmeasured confounders</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Instrumental Variables (IV)</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Endogenous treatment with valid instrument</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Possibly — if marketing randomized outreach</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Strong if instrument is valid; hard to find</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Randomized Controlled Trial</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Full control over treatment assignment</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Yes — Phase 2 factorial experiment (your final choice)</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Gold standard; eliminates all selection bias</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Regression Discontinuity (RD)</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Treatment assigned at a threshold</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Possibly — if contract renewal timing is threshold</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Compelling if threshold is credibly arbitrary</w:t>
            </w:r>
          </w:p>
        </w:tc>
      </w:tr>
    </w:tbl>
    <w:p>
      <w:r>
        <w:br w:type="page"/>
      </w:r>
    </w:p>
    <w:p>
      <w:pPr>
        <w:pStyle w:val="Heading1"/>
        <w:shd w:fill="1558B0" w:val="clear"/>
        <w:spacing w:before="360" w:after="160"/>
        <w:ind w:left="200"/>
      </w:pPr>
      <w:r>
        <w:rPr>
          <w:rFonts w:ascii="Arial" w:cs="Arial" w:eastAsia="Arial" w:hAnsi="Arial"/>
          <w:b/>
          <w:bCs/>
          <w:color w:val="FFFFFF"/>
          <w:sz w:val="28"/>
          <w:szCs w:val="28"/>
        </w:rPr>
        <w:t xml:space="preserve">5. Experimental Design — Updated for Google Standards</w:t>
      </w:r>
    </w:p>
    <w:p>
      <w:pPr>
        <w:spacing w:before="60" w:after="60"/>
      </w:pPr>
      <w:r>
        <w:rPr>
          <w:rFonts w:ascii="Arial" w:cs="Arial" w:eastAsia="Arial" w:hAnsi="Arial"/>
          <w:color w:val="202124"/>
          <w:sz w:val="20"/>
          <w:szCs w:val="20"/>
        </w:rPr>
        <w:t xml:space="preserve">This section retains the 2x2x2 factorial design from the original roadmap but adds several enhancements specifically aligned to Google's experimentation culture: a holdout group for long-run validation, a pre-registered analysis plan, and a power analysis that accounts for multiple comparisons.</w:t>
      </w:r>
    </w:p>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5.1 Enhanced 2x2x2 Factorial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Factor</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 (0)</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Treatment (1)</w:t>
            </w:r>
          </w:p>
        </w:tc>
        <w:tc>
          <w:tcPr>
            <w:tcW w:type="dxa" w:w="35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Causal Question Answered</w:t>
            </w:r>
          </w:p>
        </w:tc>
      </w:tr>
      <w:tr>
        <w:tc>
          <w:tcPr>
            <w:tcW w:type="dxa" w:w="1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 — Add-ons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No add-on offer</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Free 30-day bundle trial</w:t>
            </w:r>
          </w:p>
        </w:tc>
        <w:tc>
          <w:tcPr>
            <w:tcW w:type="dxa" w:w="3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Do add-ons causally reduce churn, net of selection?</w:t>
            </w:r>
          </w:p>
        </w:tc>
      </w:tr>
      <w:tr>
        <w:tc>
          <w:tcPr>
            <w:tcW w:type="dxa" w:w="1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B — Contract</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Month-to-month (status quo)</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1-year offer + 10% discount</w:t>
            </w:r>
          </w:p>
        </w:tc>
        <w:tc>
          <w:tcPr>
            <w:tcW w:type="dxa" w:w="3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Does contract commitment causally reduce churn?</w:t>
            </w:r>
          </w:p>
        </w:tc>
      </w:tr>
      <w:tr>
        <w:tc>
          <w:tcPr>
            <w:tcW w:type="dxa" w:w="1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 — Payment</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Electronic check (status quo)</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$10 credit for autopay switch</w:t>
            </w:r>
          </w:p>
        </w:tc>
        <w:tc>
          <w:tcPr>
            <w:tcW w:type="dxa" w:w="3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Does payment friction causally drive churn?</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5.2 New Addition: Global Holdout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4EA" w:val="clear"/>
            <w:tcMar>
              <w:top w:type="dxa" w:w="120"/>
              <w:left w:type="dxa" w:w="200"/>
              <w:bottom w:type="dxa" w:w="120"/>
              <w:right w:type="dxa" w:w="200"/>
            </w:tcMar>
          </w:tcPr>
          <w:p>
            <w:pPr>
              <w:spacing w:before="40" w:after="40"/>
            </w:pPr>
            <w:r>
              <w:rPr>
                <w:rFonts w:ascii="Arial" w:cs="Arial" w:eastAsia="Arial" w:hAnsi="Arial"/>
                <w:b/>
                <w:bCs/>
                <w:color w:val="188038"/>
                <w:sz w:val="20"/>
                <w:szCs w:val="20"/>
              </w:rPr>
              <w:t xml:space="preserve">Google Experimentation Best Practice: Holdout Groups</w:t>
            </w:r>
          </w:p>
          <w:p>
            <w:pPr>
              <w:spacing w:before="20" w:after="20"/>
            </w:pPr>
            <w:r>
              <w:rPr>
                <w:rFonts w:ascii="Arial" w:cs="Arial" w:eastAsia="Arial" w:hAnsi="Arial"/>
                <w:color w:val="202124"/>
                <w:sz w:val="20"/>
                <w:szCs w:val="20"/>
              </w:rPr>
              <w:t xml:space="preserve">Google's experimentation teams maintain a holdout group — a set of users excluded from ALL experiments — to validate that observed effects are not artifacts of running many simultaneous experiments (interaction effects across experiments). Adding this to the portfolio signals familiarity with production-scale experimentation infrastructure.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400"/>
        <w:gridCol w:w="2560"/>
      </w:tblGrid>
      <w:tr>
        <w:trPr>
          <w:tblHeader/>
        </w:trPr>
        <w:tc>
          <w:tcPr>
            <w:tcW w:type="dxa" w:w="1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Group</w:t>
            </w:r>
          </w:p>
        </w:tc>
        <w:tc>
          <w:tcPr>
            <w:tcW w:type="dxa" w:w="1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Size</w:t>
            </w:r>
          </w:p>
        </w:tc>
        <w:tc>
          <w:tcPr>
            <w:tcW w:type="dxa" w:w="3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25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Analysis</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Holdout</w:t>
            </w:r>
          </w:p>
        </w:tc>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200 customers (no intervention)</w:t>
            </w:r>
          </w:p>
        </w:tc>
        <w:tc>
          <w:tcPr>
            <w:tcW w:type="dxa" w:w="3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Long-run baseline; validates no experiment contamination</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Compare holdout churn at 6 and 12 months to experimental arms</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8 factorial conditions</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100 per cell = 800 total</w:t>
            </w:r>
          </w:p>
        </w:tc>
        <w:tc>
          <w:tcPr>
            <w:tcW w:type="dxa" w:w="3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Causal estimation of main effects and interactions</w:t>
            </w:r>
          </w:p>
        </w:tc>
        <w:tc>
          <w:tcPr>
            <w:tcW w:type="dxa" w:w="2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Bayesian hierarchical model with pre-specified stopping rules</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Total experiment</w:t>
            </w:r>
          </w:p>
        </w:tc>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1,000 customers</w:t>
            </w:r>
          </w:p>
        </w:tc>
        <w:tc>
          <w:tcPr>
            <w:tcW w:type="dxa" w:w="3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Covers all estimation and validation needs</w:t>
            </w:r>
          </w:p>
        </w:tc>
        <w:tc>
          <w:tcPr>
            <w:tcW w:type="dxa" w:w="2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ITT primary; per-protocol sensitivity</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5.3 New Addition: Pre-Registration</w:t>
      </w:r>
    </w:p>
    <w:p>
      <w:pPr>
        <w:spacing w:before="60" w:after="60"/>
      </w:pPr>
      <w:r>
        <w:rPr>
          <w:rFonts w:ascii="Arial" w:cs="Arial" w:eastAsia="Arial" w:hAnsi="Arial"/>
          <w:color w:val="202124"/>
          <w:sz w:val="20"/>
          <w:szCs w:val="20"/>
        </w:rPr>
        <w:t xml:space="preserve">Pre-registering the analysis plan before data collection is standard practice in Google's Policy and Compliance analytics. It prevents p-hacking and provides an audit trail — critical for compliance-adjacent work.</w:t>
      </w:r>
    </w:p>
    <w:p>
      <w:pPr>
        <w:spacing w:before="80" w:after="80"/>
      </w:pPr>
      <w:r>
        <w:t xml:space="preserve"/>
      </w:r>
    </w:p>
    <w:p>
      <w:pPr>
        <w:pStyle w:val="ListParagraph"/>
        <w:numPr>
          <w:ilvl w:val="0"/>
          <w:numId w:val="2"/>
        </w:numPr>
        <w:spacing w:before="40" w:after="40"/>
      </w:pPr>
      <w:r>
        <w:rPr>
          <w:rFonts w:ascii="Arial" w:cs="Arial" w:eastAsia="Arial" w:hAnsi="Arial"/>
          <w:b w:val="false"/>
          <w:bCs w:val="false"/>
          <w:color w:val="202124"/>
          <w:sz w:val="20"/>
          <w:szCs w:val="20"/>
        </w:rPr>
        <w:t xml:space="preserve">Pre-register on OSF (Open Science Framework) or equivalent internal system before enrollment begins</w:t>
      </w:r>
    </w:p>
    <w:p>
      <w:pPr>
        <w:pStyle w:val="ListParagraph"/>
        <w:numPr>
          <w:ilvl w:val="0"/>
          <w:numId w:val="2"/>
        </w:numPr>
        <w:spacing w:before="40" w:after="40"/>
      </w:pPr>
      <w:r>
        <w:rPr>
          <w:rFonts w:ascii="Arial" w:cs="Arial" w:eastAsia="Arial" w:hAnsi="Arial"/>
          <w:b w:val="false"/>
          <w:bCs w:val="false"/>
          <w:color w:val="202124"/>
          <w:sz w:val="20"/>
          <w:szCs w:val="20"/>
        </w:rPr>
        <w:t xml:space="preserve">Document: primary outcome, secondary outcomes, sample size rationale, stopping rules, subgroup analyses</w:t>
      </w:r>
    </w:p>
    <w:p>
      <w:pPr>
        <w:pStyle w:val="ListParagraph"/>
        <w:numPr>
          <w:ilvl w:val="0"/>
          <w:numId w:val="2"/>
        </w:numPr>
        <w:spacing w:before="40" w:after="40"/>
      </w:pPr>
      <w:r>
        <w:rPr>
          <w:rFonts w:ascii="Arial" w:cs="Arial" w:eastAsia="Arial" w:hAnsi="Arial"/>
          <w:b w:val="false"/>
          <w:bCs w:val="false"/>
          <w:color w:val="202124"/>
          <w:sz w:val="20"/>
          <w:szCs w:val="20"/>
        </w:rPr>
        <w:t xml:space="preserve">Lock: which of the 8 conditions is the primary comparison (full bundle vs pure control)</w:t>
      </w:r>
    </w:p>
    <w:p>
      <w:pPr>
        <w:pStyle w:val="ListParagraph"/>
        <w:numPr>
          <w:ilvl w:val="0"/>
          <w:numId w:val="2"/>
        </w:numPr>
        <w:spacing w:before="40" w:after="40"/>
      </w:pPr>
      <w:r>
        <w:rPr>
          <w:rFonts w:ascii="Arial" w:cs="Arial" w:eastAsia="Arial" w:hAnsi="Arial"/>
          <w:b w:val="false"/>
          <w:bCs w:val="false"/>
          <w:color w:val="202124"/>
          <w:sz w:val="20"/>
          <w:szCs w:val="20"/>
        </w:rPr>
        <w:t xml:space="preserve">Note any deviations from the plan in the final report — this demonstrates intellectual honesty</w:t>
      </w:r>
    </w:p>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5.4 Power Analysis with Multiple Comparisons Correction</w:t>
      </w:r>
    </w:p>
    <w:p>
      <w:pPr>
        <w:spacing w:before="60" w:after="60"/>
      </w:pPr>
      <w:r>
        <w:rPr>
          <w:rFonts w:ascii="Arial" w:cs="Arial" w:eastAsia="Arial" w:hAnsi="Arial"/>
          <w:color w:val="202124"/>
          <w:sz w:val="20"/>
          <w:szCs w:val="20"/>
        </w:rPr>
        <w:t xml:space="preserve">The original design uses 90% power per comparison. With 7 main and interaction effect estimates in a 2x2x2 design, a Bonferroni or Benjamini-Hochberg correction should be applied to maintain the family-wise error rate. This is an enhancement over the original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Analysis</w:t>
            </w:r>
          </w:p>
        </w:tc>
        <w:tc>
          <w:tcPr>
            <w:tcW w:type="dxa" w:w="1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Unadjusted Power</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With BH Correction (q=0.10)</w:t>
            </w:r>
          </w:p>
        </w:tc>
        <w:tc>
          <w:tcPr>
            <w:tcW w:type="dxa" w:w="29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n per cell</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Main effect A (add-ons)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90% at n=100</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84% (alpha adjusted to 0.014)</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~115 per cell</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Main effect B (contract)</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90% at n=100</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84% (alpha adjusted to 0.014)</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~115 per cell</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Main effect C (payment)</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90% at n=100</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84% (alpha adjusted to 0.014)</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~115 per cell</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Interaction AB</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80% (smaller expected effect)</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72% (adjusted)</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~150 per cell (increase)</w:t>
            </w:r>
          </w:p>
        </w:tc>
      </w:tr>
      <w:tr>
        <w:tc>
          <w:tcPr>
            <w:tcW w:type="dxa" w:w="2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Full bundle vs control</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&gt;99% (large combined effect)</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&gt;98% (adjusted)</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100 sufficient</w:t>
            </w:r>
          </w:p>
        </w:tc>
      </w:tr>
      <w:tr>
        <w:tc>
          <w:tcPr>
            <w:tcW w:type="dxa" w:w="2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Recommendation</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Increase to 120 per cell</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Covers main effects with BH correction</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Total: 960 + 200 holdout = 1,160</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5.5 Revised Phase Timeline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1400"/>
        <w:gridCol w:w="1960"/>
      </w:tblGrid>
      <w:tr>
        <w:trPr>
          <w:tblHeader/>
        </w:trPr>
        <w:tc>
          <w:tcPr>
            <w:tcW w:type="dxa" w:w="1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3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1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1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9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Trigger</w:t>
            </w:r>
          </w:p>
        </w:tc>
      </w:tr>
      <w:tr>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Pre-experiment</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Pre-registration, IRB/ethics, randomization list generation, holdout selection</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2 weeks</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0</w:t>
            </w:r>
          </w:p>
        </w:tc>
        <w:tc>
          <w:tcPr>
            <w:tcW w:type="dxa" w:w="1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Sign-off from legal and stakeholders</w:t>
            </w:r>
          </w:p>
        </w:tc>
      </w:tr>
      <w:tr>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Early Tenure (Phase 1)</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4-arm onboarding test; 50 new customers/month enter &lt;=40d window</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8 months</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400 (100/arm)</w:t>
            </w:r>
          </w:p>
        </w:tc>
        <w:tc>
          <w:tcPr>
            <w:tcW w:type="dxa" w:w="1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P(churn reduction &gt;25pp) &gt; 0.90</w:t>
            </w:r>
          </w:p>
        </w:tc>
      </w:tr>
      <w:tr>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Factorial (Phase 2)</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2x2x2 design; stratified by Fiber/DSL; weekly posterior updates</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10 weeks</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960 + 200 holdout</w:t>
            </w:r>
          </w:p>
        </w:tc>
        <w:tc>
          <w:tcPr>
            <w:tcW w:type="dxa" w:w="1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BH-corrected Bayesian stopping rules</w:t>
            </w:r>
          </w:p>
        </w:tc>
      </w:tr>
      <w:tr>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Senior Program (Phase 3A)</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2-arm test on 1,142 senior customers</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8 weeks</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400 (200/arm)</w:t>
            </w:r>
          </w:p>
        </w:tc>
        <w:tc>
          <w:tcPr>
            <w:tcW w:type="dxa" w:w="1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P(churn reduction &gt;10pp) &gt; 0.85</w:t>
            </w:r>
          </w:p>
        </w:tc>
      </w:tr>
      <w:tr>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Fiber Program (Phase 3B)</w:t>
            </w:r>
          </w:p>
        </w:tc>
        <w:tc>
          <w:tcPr>
            <w:tcW w:type="dxa" w:w="3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3-arm test on 3,096 fiber customers</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8 weeks</w:t>
            </w:r>
          </w:p>
        </w:tc>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600 (200/arm)</w:t>
            </w:r>
          </w:p>
        </w:tc>
        <w:tc>
          <w:tcPr>
            <w:tcW w:type="dxa" w:w="1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P(churn reduction &gt;12pp) &gt; 0.85</w:t>
            </w:r>
          </w:p>
        </w:tc>
      </w:tr>
      <w:tr>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Retrospective</w:t>
            </w:r>
          </w:p>
        </w:tc>
        <w:tc>
          <w:tcPr>
            <w:tcW w:type="dxa" w:w="3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Holdout comparison; causal validation; BI dashboard update</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2 weeks</w:t>
            </w:r>
          </w:p>
        </w:tc>
        <w:tc>
          <w:tcPr>
            <w:tcW w:type="dxa" w:w="1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Holdout group</w:t>
            </w:r>
          </w:p>
        </w:tc>
        <w:tc>
          <w:tcPr>
            <w:tcW w:type="dxa" w:w="1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12-month churn rates in holdout vs rollout</w:t>
            </w:r>
          </w:p>
        </w:tc>
      </w:tr>
    </w:tbl>
    <w:p>
      <w:r>
        <w:br w:type="page"/>
      </w:r>
    </w:p>
    <w:p>
      <w:pPr>
        <w:pStyle w:val="Heading1"/>
        <w:shd w:fill="1558B0" w:val="clear"/>
        <w:spacing w:before="360" w:after="160"/>
        <w:ind w:left="200"/>
      </w:pPr>
      <w:r>
        <w:rPr>
          <w:rFonts w:ascii="Arial" w:cs="Arial" w:eastAsia="Arial" w:hAnsi="Arial"/>
          <w:b/>
          <w:bCs/>
          <w:color w:val="FFFFFF"/>
          <w:sz w:val="28"/>
          <w:szCs w:val="28"/>
        </w:rPr>
        <w:t xml:space="preserve">6. Implementation Roadmap — Policy Rollout</w:t>
      </w:r>
    </w:p>
    <w:p>
      <w:pPr>
        <w:spacing w:before="60" w:after="60"/>
      </w:pPr>
      <w:r>
        <w:rPr>
          <w:rFonts w:ascii="Arial" w:cs="Arial" w:eastAsia="Arial" w:hAnsi="Arial"/>
          <w:color w:val="202124"/>
          <w:sz w:val="20"/>
          <w:szCs w:val="20"/>
        </w:rPr>
        <w:t xml:space="preserve">Google BizOps analysts do not stop at recommendations — they help drive implementation and check back in on impact. This section structures the rollout as a policy implementation plan with clear owners, KPIs, and feedback loops.</w:t>
      </w:r>
    </w:p>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6.1 Quick-Win Policy Implementations (No Experiment Required)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1600"/>
        <w:gridCol w:w="1600"/>
        <w:gridCol w:w="1560"/>
      </w:tblGrid>
      <w:tr>
        <w:trPr>
          <w:tblHeader/>
        </w:trPr>
        <w:tc>
          <w:tcPr>
            <w:tcW w:type="dxa" w:w="1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Policy</w:t>
            </w:r>
          </w:p>
        </w:tc>
        <w:tc>
          <w:tcPr>
            <w:tcW w:type="dxa" w:w="1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Segment</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Mechanism</w:t>
            </w:r>
          </w:p>
        </w:tc>
        <w:tc>
          <w:tcPr>
            <w:tcW w:type="dxa" w:w="1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 (Google Analog)</w:t>
            </w:r>
          </w:p>
        </w:tc>
        <w:tc>
          <w:tcPr>
            <w:tcW w:type="dxa" w:w="1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15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Impact</w:t>
            </w:r>
          </w:p>
        </w:tc>
      </w:tr>
      <w:tr>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Autopay incentive campaign</w:t>
            </w:r>
          </w:p>
        </w:tc>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~1,869 e-check users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$10 bill credit for autopay switch; 2-week enrollment</w:t>
            </w:r>
          </w:p>
        </w:tc>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Growth Operations team</w:t>
            </w:r>
          </w:p>
        </w:tc>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 switched to autopay; churn rate at 90d</w:t>
            </w:r>
          </w:p>
        </w:tc>
        <w:tc>
          <w:tcPr>
            <w:tcW w:type="dxa" w:w="15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$67K/year net profit</w:t>
            </w:r>
          </w:p>
        </w:tc>
      </w:tr>
      <w:tr>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2-year contract renewal protection</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Two-year customers at 18-22 months</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Proactive renewal offer 6 months before expiration at locked rate</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Retention Policy team</w:t>
            </w:r>
          </w:p>
        </w:tc>
        <w:tc>
          <w:tcPr>
            <w:tcW w:type="dxa" w:w="1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Renewal rate; regression to MTM rate</w:t>
            </w:r>
          </w:p>
        </w:tc>
        <w:tc>
          <w:tcPr>
            <w:tcW w:type="dxa" w:w="15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$53K/year net profit</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6.2 Experimental Phase Rollout Decision Framework</w:t>
      </w:r>
    </w:p>
    <w:p>
      <w:pPr>
        <w:spacing w:before="60" w:after="60"/>
      </w:pPr>
      <w:r>
        <w:rPr>
          <w:rFonts w:ascii="Arial" w:cs="Arial" w:eastAsia="Arial" w:hAnsi="Arial"/>
          <w:color w:val="202124"/>
          <w:sz w:val="20"/>
          <w:szCs w:val="20"/>
        </w:rPr>
        <w:t xml:space="preserve">After each experiment concludes, a standardized decision memo is produced for senior leadership. The memo follows BLUF (Bottom Line Up Front) format — Google's preferred executive communication style.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8F0FE" w:val="clear"/>
            <w:tcMar>
              <w:top w:type="dxa" w:w="120"/>
              <w:left w:type="dxa" w:w="200"/>
              <w:bottom w:type="dxa" w:w="120"/>
              <w:right w:type="dxa" w:w="200"/>
            </w:tcMar>
          </w:tcPr>
          <w:p>
            <w:pPr>
              <w:spacing w:before="40" w:after="40"/>
            </w:pPr>
            <w:r>
              <w:rPr>
                <w:rFonts w:ascii="Arial" w:cs="Arial" w:eastAsia="Arial" w:hAnsi="Arial"/>
                <w:b/>
                <w:bCs/>
                <w:color w:val="1558B0"/>
                <w:sz w:val="20"/>
                <w:szCs w:val="20"/>
              </w:rPr>
              <w:t xml:space="preserve">BLUF Decision Memo Format (Template)</w:t>
            </w:r>
          </w:p>
          <w:p>
            <w:pPr>
              <w:spacing w:before="20" w:after="20"/>
            </w:pPr>
            <w:r>
              <w:rPr>
                <w:rFonts w:ascii="Arial" w:cs="Arial" w:eastAsia="Arial" w:hAnsi="Arial"/>
                <w:color w:val="202124"/>
                <w:sz w:val="20"/>
                <w:szCs w:val="20"/>
              </w:rPr>
              <w:t xml:space="preserve">BOTTOM LINE: [Winning condition] reduced churn by [X]pp (95% credible interval: [Y, Z]pp). Recommend full rollout to [N] eligible customers. Expected annual value: $[X]K. Cost of rollout: $[Y]K. Net: $[Z]K.
FINDINGS: [2-3 bullet points on key results including any interactions]
RISKS: [1-2 bullet points on what could reduce the effect at scale]
NEXT STEPS: [Implementation owner / timeline / measurement plan]</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6.3 Full 12-Month Implementation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c>
          <w:tcPr>
            <w:tcW w:type="dxa" w:w="37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Stakeholder Output</w:t>
            </w:r>
          </w:p>
        </w:tc>
      </w:tr>
      <w:tr>
        <w:tc>
          <w:tcPr>
            <w:tcW w:type="dxa" w:w="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Quick win campaigns launch; data pipeline review</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Autopay campaign live; renewal alerts active</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Executive brief: 'Expected $120K in Year 1 from immediate actions'</w:t>
            </w:r>
          </w:p>
        </w:tc>
      </w:tr>
      <w:tr>
        <w:tc>
          <w:tcPr>
            <w:tcW w:type="dxa" w:w="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2</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Pre-registration; IRB sign-off; randomization list</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Experiment protocol document; holdout group locked</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Decision memo: experiment approved to proceed</w:t>
            </w:r>
          </w:p>
        </w:tc>
      </w:tr>
      <w:tr>
        <w:tc>
          <w:tcPr>
            <w:tcW w:type="dxa" w:w="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3</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Phase 1 + Phase 2 enrollment begins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Weekly enrollment tracker; posterior update dashboard</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Stakeholder update: baseline churn confirmed, priors validated</w:t>
            </w:r>
          </w:p>
        </w:tc>
      </w:tr>
      <w:tr>
        <w:tc>
          <w:tcPr>
            <w:tcW w:type="dxa" w:w="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5-6</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Phase 2 interim analysis; potential early stop</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Posterior probability charts; stopping rule evaluation</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Decision memo: 'Continue' or 'Early stop — winner declared'</w:t>
            </w:r>
          </w:p>
        </w:tc>
      </w:tr>
      <w:tr>
        <w:tc>
          <w:tcPr>
            <w:tcW w:type="dxa" w:w="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8</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Phase 2 final results; Phase 1 decision</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Full causal effect estimates with credible intervals</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Executive brief: Phase 2 findings + Phase 3 recommendation</w:t>
            </w:r>
          </w:p>
        </w:tc>
      </w:tr>
      <w:tr>
        <w:tc>
          <w:tcPr>
            <w:tcW w:type="dxa" w:w="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9</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Phase 3A + 3B enrollment begins</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Senior + Fiber experiment protocols</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Stakeholder update: Phase 3 design and enrollment status</w:t>
            </w:r>
          </w:p>
        </w:tc>
      </w:tr>
      <w:tr>
        <w:tc>
          <w:tcPr>
            <w:tcW w:type="dxa" w:w="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11</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Phase 3 results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Segment-level causal estimates</w:t>
            </w:r>
          </w:p>
        </w:tc>
        <w:tc>
          <w:tcPr>
            <w:tcW w:type="dxa" w:w="3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Decision memo: Phase 3 rollout recommendation</w:t>
            </w:r>
          </w:p>
        </w:tc>
      </w:tr>
      <w:tr>
        <w:tc>
          <w:tcPr>
            <w:tcW w:type="dxa" w:w="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12</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Retrospective: holdout comparison + BI dashboard</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12-month causal validation; ongoing monitoring setup</w:t>
            </w:r>
          </w:p>
        </w:tc>
        <w:tc>
          <w:tcPr>
            <w:tcW w:type="dxa" w:w="3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Annual executive review: $372K total impact confirmation</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6.4 Measurement &amp; Monitoring Framework</w:t>
      </w:r>
    </w:p>
    <w:p>
      <w:pPr>
        <w:spacing w:before="60" w:after="60"/>
      </w:pPr>
      <w:r>
        <w:rPr>
          <w:rFonts w:ascii="Arial" w:cs="Arial" w:eastAsia="Arial" w:hAnsi="Arial"/>
          <w:color w:val="202124"/>
          <w:sz w:val="20"/>
          <w:szCs w:val="20"/>
        </w:rPr>
        <w:t xml:space="preserve">Post-rollout, a Looker-style BI dashboard (currently implemented in Streamlit) monitors ongoing churn by risk tier, cohort, and intervention arm. Key metrics for the ongoing measurement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960"/>
      </w:tblGrid>
      <w:tr>
        <w:trPr>
          <w:tblHeader/>
        </w:trPr>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Frequency</w:t>
            </w:r>
          </w:p>
        </w:tc>
        <w:tc>
          <w:tcPr>
            <w:tcW w:type="dxa" w:w="2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Alert Threshold</w:t>
            </w:r>
          </w:p>
        </w:tc>
        <w:tc>
          <w:tcPr>
            <w:tcW w:type="dxa" w:w="29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Overall churn rate by risk tier</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Weekly</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If CRITICAL tier churn exceeds 65% (&gt;5pp above baseline)</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Risk Analytics team</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Autopay adoption rate</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Weekly</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If adoption falls below 25% (campaign underperforming)</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Growth Operations</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Contract upgrade adoption</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Weekly</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If adoption falls below 10% (offer not resonating)</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Retention Policy team</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Early-tenure intervention conversion</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Monthly</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If onboarding touchpoint completion &lt; 70%</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Customer Success team</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Holdout vs rollout churn delta</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Monthly (first 6 months)</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If delta shrinks below 10pp (effect decaying)</w:t>
            </w:r>
          </w:p>
        </w:tc>
        <w:tc>
          <w:tcPr>
            <w:tcW w:type="dxa" w:w="2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Causal Inference team</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Revenue at risk by cohort</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Monthly</w:t>
            </w:r>
          </w:p>
        </w:tc>
        <w:tc>
          <w:tcPr>
            <w:tcW w:type="dxa" w:w="2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If CRITICAL cohort revenue at risk exceeds $25K/month</w:t>
            </w:r>
          </w:p>
        </w:tc>
        <w:tc>
          <w:tcPr>
            <w:tcW w:type="dxa" w:w="2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Finance Operations</w:t>
            </w:r>
          </w:p>
        </w:tc>
      </w:tr>
    </w:tbl>
    <w:p>
      <w:r>
        <w:br w:type="page"/>
      </w:r>
    </w:p>
    <w:p>
      <w:pPr>
        <w:pStyle w:val="Heading1"/>
        <w:shd w:fill="1558B0" w:val="clear"/>
        <w:spacing w:before="360" w:after="160"/>
        <w:ind w:left="200"/>
      </w:pPr>
      <w:r>
        <w:rPr>
          <w:rFonts w:ascii="Arial" w:cs="Arial" w:eastAsia="Arial" w:hAnsi="Arial"/>
          <w:b/>
          <w:bCs/>
          <w:color w:val="FFFFFF"/>
          <w:sz w:val="28"/>
          <w:szCs w:val="28"/>
        </w:rPr>
        <w:t xml:space="preserve">7. Executive Communication — Senior Stakeholder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8F0FE" w:val="clear"/>
            <w:tcMar>
              <w:top w:type="dxa" w:w="120"/>
              <w:left w:type="dxa" w:w="200"/>
              <w:bottom w:type="dxa" w:w="120"/>
              <w:right w:type="dxa" w:w="200"/>
            </w:tcMar>
          </w:tcPr>
          <w:p>
            <w:pPr>
              <w:spacing w:before="40" w:after="40"/>
            </w:pPr>
            <w:r>
              <w:rPr>
                <w:rFonts w:ascii="Arial" w:cs="Arial" w:eastAsia="Arial" w:hAnsi="Arial"/>
                <w:b/>
                <w:bCs/>
                <w:color w:val="1558B0"/>
                <w:sz w:val="20"/>
                <w:szCs w:val="20"/>
              </w:rPr>
              <w:t xml:space="preserve">Google BizOps Core Competency</w:t>
            </w:r>
          </w:p>
          <w:p>
            <w:pPr>
              <w:spacing w:before="20" w:after="20"/>
            </w:pPr>
            <w:r>
              <w:rPr>
                <w:rFonts w:ascii="Arial" w:cs="Arial" w:eastAsia="Arial" w:hAnsi="Arial"/>
                <w:color w:val="202124"/>
                <w:sz w:val="20"/>
                <w:szCs w:val="20"/>
              </w:rPr>
              <w:t xml:space="preserve">The ability to persuasively communicate data-driven recommendations to senior executives is explicitly listed in the job description. This section provides the BLUF executive summary and 5-minute pitch structure optimized for a Google GBS&amp;O audience.</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7.1 One-Page Executive Summary (BLUF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1A73E8" w:sz="12"/>
              <w:bottom w:val="single" w:color="DADCE0" w:sz="1"/>
              <w:right w:val="single" w:color="DADCE0" w:sz="1"/>
            </w:tcBorders>
            <w:shd w:fill="F8F9FA" w:val="clear"/>
            <w:tcMar>
              <w:top w:type="dxa" w:w="200"/>
              <w:left w:type="dxa" w:w="300"/>
              <w:bottom w:type="dxa" w:w="200"/>
              <w:right w:type="dxa" w:w="300"/>
            </w:tcMar>
          </w:tcPr>
          <w:p>
            <w:pPr>
              <w:spacing w:before="0" w:after="80"/>
            </w:pPr>
            <w:r>
              <w:rPr>
                <w:rFonts w:ascii="Arial" w:cs="Arial" w:eastAsia="Arial" w:hAnsi="Arial"/>
                <w:b/>
                <w:bCs/>
                <w:color w:val="1558B0"/>
                <w:sz w:val="22"/>
                <w:szCs w:val="22"/>
              </w:rPr>
              <w:t xml:space="preserve">BOTTOM LINE UP FRONT</w:t>
            </w:r>
          </w:p>
          <w:p>
            <w:pPr>
              <w:spacing w:before="0" w:after="80"/>
            </w:pPr>
            <w:r>
              <w:rPr>
                <w:rFonts w:ascii="Arial" w:cs="Arial" w:eastAsia="Arial" w:hAnsi="Arial"/>
                <w:color w:val="202124"/>
                <w:sz w:val="20"/>
                <w:szCs w:val="20"/>
              </w:rPr>
              <w:t xml:space="preserve">Analysis of 7,042 customer records reveals that churn is a predictable, addressable risk concentrated in three segments: first-40-day customers (61% churn — 2.3x baseline), month-to-month e-check users (45% churn), and fiber optic customers (42% churn despite paying 57% more). A phased risk-mitigation strategy — combining two immediate policy changes and a randomized 2x2x2 experiment — is projected to deliver $372K annual value. The primary analytical finding is that standard regression controls introduce collider bias when applied to this problem; the corrected causal framework changes both the diagnosis and the recommended interventions.</w:t>
            </w:r>
          </w:p>
          <w:p>
            <w:pPr>
              <w:spacing w:before="80" w:after="80"/>
            </w:pPr>
            <w:r>
              <w:t xml:space="preserve"/>
            </w:r>
          </w:p>
          <w:p>
            <w:pPr>
              <w:spacing w:before="0" w:after="60"/>
            </w:pPr>
            <w:r>
              <w:rPr>
                <w:rFonts w:ascii="Arial" w:cs="Arial" w:eastAsia="Arial" w:hAnsi="Arial"/>
                <w:b/>
                <w:bCs/>
                <w:color w:val="1558B0"/>
                <w:sz w:val="20"/>
                <w:szCs w:val="20"/>
              </w:rPr>
              <w:t xml:space="preserve">IMMEDIATE ACTIONS (Months 1–2)</w:t>
            </w:r>
          </w:p>
          <w:p>
            <w:pPr>
              <w:spacing w:before="0" w:after="40"/>
            </w:pPr>
            <w:r>
              <w:rPr>
                <w:rFonts w:ascii="Arial" w:cs="Arial" w:eastAsia="Arial" w:hAnsi="Arial"/>
                <w:color w:val="202124"/>
                <w:sz w:val="18"/>
                <w:szCs w:val="18"/>
              </w:rPr>
              <w:t xml:space="preserve">1. Autopay incentive campaign (e-check users): $67K/year net profit, $5.6K cost, 2-week implementation.</w:t>
            </w:r>
          </w:p>
          <w:p>
            <w:pPr>
              <w:spacing w:before="0" w:after="80"/>
            </w:pPr>
            <w:r>
              <w:rPr>
                <w:rFonts w:ascii="Arial" w:cs="Arial" w:eastAsia="Arial" w:hAnsi="Arial"/>
                <w:color w:val="202124"/>
                <w:sz w:val="18"/>
                <w:szCs w:val="18"/>
              </w:rPr>
              <w:t xml:space="preserve">2. Two-year contract renewal protection: $53K/year, targets highest-value customers before contract expiration.</w:t>
            </w:r>
          </w:p>
          <w:p>
            <w:pPr>
              <w:spacing w:before="0" w:after="60"/>
            </w:pPr>
            <w:r>
              <w:rPr>
                <w:rFonts w:ascii="Arial" w:cs="Arial" w:eastAsia="Arial" w:hAnsi="Arial"/>
                <w:b/>
                <w:bCs/>
                <w:color w:val="1558B0"/>
                <w:sz w:val="20"/>
                <w:szCs w:val="20"/>
              </w:rPr>
              <w:t xml:space="preserve">EXPERIMENTAL STRATEGY (Months 3–11)</w:t>
            </w:r>
          </w:p>
          <w:p>
            <w:pPr>
              <w:spacing w:before="0" w:after="40"/>
            </w:pPr>
            <w:r>
              <w:rPr>
                <w:rFonts w:ascii="Arial" w:cs="Arial" w:eastAsia="Arial" w:hAnsi="Arial"/>
                <w:color w:val="202124"/>
                <w:sz w:val="18"/>
                <w:szCs w:val="18"/>
              </w:rPr>
              <w:t xml:space="preserve">Phase 1: Early-tenure onboarding intervention (4 arms, 400 customers) — projected $82K/year, 700% ROI.</w:t>
            </w:r>
          </w:p>
          <w:p>
            <w:pPr>
              <w:spacing w:before="0" w:after="40"/>
            </w:pPr>
            <w:r>
              <w:rPr>
                <w:rFonts w:ascii="Arial" w:cs="Arial" w:eastAsia="Arial" w:hAnsi="Arial"/>
                <w:color w:val="202124"/>
                <w:sz w:val="18"/>
                <w:szCs w:val="18"/>
              </w:rPr>
              <w:t xml:space="preserve">Phase 2: 2x2x2 factorial experiment (8 conditions, 1,160 customers including holdout) — establishes causal effects of add-ons, contract, and payment interventions. Projected $93K/year from contract arm alone.</w:t>
            </w:r>
          </w:p>
          <w:p>
            <w:pPr>
              <w:spacing w:before="0" w:after="80"/>
            </w:pPr>
            <w:r>
              <w:rPr>
                <w:rFonts w:ascii="Arial" w:cs="Arial" w:eastAsia="Arial" w:hAnsi="Arial"/>
                <w:color w:val="202124"/>
                <w:sz w:val="18"/>
                <w:szCs w:val="18"/>
              </w:rPr>
              <w:t xml:space="preserve">Phase 3: Targeted senior and fiber programs — projected $130K/year.</w:t>
            </w:r>
          </w:p>
          <w:p>
            <w:pPr>
              <w:spacing w:before="0" w:after="60"/>
            </w:pPr>
            <w:r>
              <w:rPr>
                <w:rFonts w:ascii="Arial" w:cs="Arial" w:eastAsia="Arial" w:hAnsi="Arial"/>
                <w:b/>
                <w:bCs/>
                <w:color w:val="1558B0"/>
                <w:sz w:val="20"/>
                <w:szCs w:val="20"/>
              </w:rPr>
              <w:t xml:space="preserve">RISKS &amp; MITIGATIONS</w:t>
            </w:r>
          </w:p>
          <w:p>
            <w:pPr>
              <w:spacing w:before="0" w:after="40"/>
            </w:pPr>
            <w:r>
              <w:rPr>
                <w:rFonts w:ascii="Arial" w:cs="Arial" w:eastAsia="Arial" w:hAnsi="Arial"/>
                <w:color w:val="202124"/>
                <w:sz w:val="18"/>
                <w:szCs w:val="18"/>
              </w:rPr>
              <w:t xml:space="preserve">1. Observational estimates are subject to residual confounding — experiments eliminate this risk.</w:t>
            </w:r>
          </w:p>
          <w:p>
            <w:pPr>
              <w:spacing w:before="0" w:after="40"/>
            </w:pPr>
            <w:r>
              <w:rPr>
                <w:rFonts w:ascii="Arial" w:cs="Arial" w:eastAsia="Arial" w:hAnsi="Arial"/>
                <w:color w:val="202124"/>
                <w:sz w:val="18"/>
                <w:szCs w:val="18"/>
              </w:rPr>
              <w:t xml:space="preserve">2. Intervention effects may decay after 90 days — holdout group measures long-run stability.</w:t>
            </w:r>
          </w:p>
          <w:p>
            <w:pPr>
              <w:spacing w:before="0" w:after="40"/>
            </w:pPr>
            <w:r>
              <w:rPr>
                <w:rFonts w:ascii="Arial" w:cs="Arial" w:eastAsia="Arial" w:hAnsi="Arial"/>
                <w:color w:val="202124"/>
                <w:sz w:val="18"/>
                <w:szCs w:val="18"/>
              </w:rPr>
              <w:t xml:space="preserve">3. Multiple simultaneous experiments risk interaction effects — holdout group and pre-registration mitigate this.</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7.2 Five-Minute Pitch — Google BizOps Style</w:t>
      </w:r>
    </w:p>
    <w:p>
      <w:pPr>
        <w:spacing w:before="60" w:after="60"/>
      </w:pPr>
      <w:r>
        <w:rPr>
          <w:rFonts w:ascii="Arial" w:cs="Arial" w:eastAsia="Arial" w:hAnsi="Arial"/>
          <w:color w:val="202124"/>
          <w:sz w:val="20"/>
          <w:szCs w:val="20"/>
        </w:rPr>
        <w:t xml:space="preserve">Structure: Problem → Finding → Complication → Resolution → Recommendation → Impact. This mirrors McKinsey and Google BizOps presentation norms.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960"/>
        <w:gridCol w:w="3400"/>
      </w:tblGrid>
      <w:tr>
        <w:trPr>
          <w:tblHeader/>
        </w:trPr>
        <w:tc>
          <w:tcPr>
            <w:tcW w:type="dxa" w:w="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Minute</w:t>
            </w:r>
          </w:p>
        </w:tc>
        <w:tc>
          <w:tcPr>
            <w:tcW w:type="dxa" w:w="1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w:t>
            </w:r>
          </w:p>
        </w:tc>
        <w:tc>
          <w:tcPr>
            <w:tcW w:type="dxa" w:w="39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Message</w:t>
            </w:r>
          </w:p>
        </w:tc>
        <w:tc>
          <w:tcPr>
            <w:tcW w:type="dxa" w:w="3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 to Show</w:t>
            </w:r>
          </w:p>
        </w:tc>
      </w:tr>
      <w:tr>
        <w:tc>
          <w:tcPr>
            <w:tcW w:type="dxa" w:w="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0:00–0:45</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PROBLEM</w:t>
            </w:r>
          </w:p>
        </w:tc>
        <w:tc>
          <w:tcPr>
            <w:tcW w:type="dxa" w:w="3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Telecom operator: 26.5% of customers cancel each year — that is $1.9M in annual revenue at risk. Leadership needs to know why, which customers, and what to do.</w:t>
            </w:r>
          </w:p>
        </w:tc>
        <w:tc>
          <w:tcPr>
            <w:tcW w:type="dxa" w:w="3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Stat bar: 7,042 customers, $64.76 ARPU, $1.9M total at-risk revenue</w:t>
            </w:r>
          </w:p>
        </w:tc>
      </w:tr>
      <w:tr>
        <w:tc>
          <w:tcPr>
            <w:tcW w:type="dxa" w:w="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0:45–2:00</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FINDING + COMPLICATION</w:t>
            </w:r>
          </w:p>
        </w:tc>
        <w:tc>
          <w:tcPr>
            <w:tcW w:type="dxa" w:w="3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I identified three high-risk cohorts. But the initial analysis was wrong: I was using tenure as a control variable, which is a collider. Controlling for colliders induces bias — the add-on effect reversed when I stratified correctly. I caught the error, corrected it, and reframed the entire analysis.</w:t>
            </w:r>
          </w:p>
        </w:tc>
        <w:tc>
          <w:tcPr>
            <w:tcW w:type="dxa" w:w="3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Collider bias table; reversed add-on effect by tenure stratum</w:t>
            </w:r>
          </w:p>
        </w:tc>
      </w:tr>
      <w:tr>
        <w:tc>
          <w:tcPr>
            <w:tcW w:type="dxa" w:w="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2:00–3:00</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RESOLUTION</w:t>
            </w:r>
          </w:p>
        </w:tc>
        <w:tc>
          <w:tcPr>
            <w:tcW w:type="dxa" w:w="3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Corrected causal framework: control only for exogenous demographics. Observational estimates are now labeled 'suggestive.' The only way to fully eliminate selection bias is a randomized experiment — which is exactly what I designed.</w:t>
            </w:r>
          </w:p>
        </w:tc>
        <w:tc>
          <w:tcPr>
            <w:tcW w:type="dxa" w:w="3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Variable assessment table; corrected estimates table</w:t>
            </w:r>
          </w:p>
        </w:tc>
      </w:tr>
      <w:tr>
        <w:tc>
          <w:tcPr>
            <w:tcW w:type="dxa" w:w="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3:00–4:15</w:t>
            </w:r>
          </w:p>
        </w:tc>
        <w:tc>
          <w:tcPr>
            <w:tcW w:type="dxa" w:w="1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RECOMMENDATION</w:t>
            </w:r>
          </w:p>
        </w:tc>
        <w:tc>
          <w:tcPr>
            <w:tcW w:type="dxa" w:w="3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Two immediate policy changes (autopay incentive, contract renewal) that do not require an experiment. Plus a 2x2x2 factorial experiment to establish causal effects of three interventions simultaneously. Holdout group for long-run validation.</w:t>
            </w:r>
          </w:p>
        </w:tc>
        <w:tc>
          <w:tcPr>
            <w:tcW w:type="dxa" w:w="3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Factorial design table; phase timeline</w:t>
            </w:r>
          </w:p>
        </w:tc>
      </w:tr>
      <w:tr>
        <w:tc>
          <w:tcPr>
            <w:tcW w:type="dxa" w:w="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4:15–5:00</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IMPACT</w:t>
            </w:r>
          </w:p>
        </w:tc>
        <w:tc>
          <w:tcPr>
            <w:tcW w:type="dxa" w:w="3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$372K projected annual value across all phases. $120K from immediate actions within 60 days. 700% ROI on early-tenure intervention. All validated with pre-registered Bayesian analysis and a global holdout group.</w:t>
            </w:r>
          </w:p>
        </w:tc>
        <w:tc>
          <w:tcPr>
            <w:tcW w:type="dxa" w:w="3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ROI summary table</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7.3 Expected Interview Questions — Google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Question</w:t>
            </w:r>
          </w:p>
        </w:tc>
        <w:tc>
          <w:tcPr>
            <w:tcW w:type="dxa" w:w="42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Your Answer (Key Points)</w:t>
            </w:r>
          </w:p>
        </w:tc>
        <w:tc>
          <w:tcPr>
            <w:tcW w:type="dxa" w:w="27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Tell me about a time you tackled an ambiguous problem</w:t>
            </w:r>
          </w:p>
        </w:tc>
        <w:tc>
          <w:tcPr>
            <w:tcW w:type="dxa" w:w="4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Started with: 'customers are churning — figure out why.' No specified metric, no hypothesis list. Structured the problem as a risk taxonomy exercise first, then generated and tested hypotheses systematically.</w:t>
            </w:r>
          </w:p>
        </w:tc>
        <w:tc>
          <w:tcPr>
            <w:tcW w:type="dxa" w:w="2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Problem framing section; hypothesis table</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How do you handle situations where your initial analysis was wrong?</w:t>
            </w:r>
          </w:p>
        </w:tc>
        <w:tc>
          <w:tcPr>
            <w:tcW w:type="dxa" w:w="4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I found I was conditioning on a collider (tenure). I documented the error, demonstrated it empirically (effect reversal), corrected the methodology, and used it as the centerpiece of the portfolio — turning a mistake into a differentiator.</w:t>
            </w:r>
          </w:p>
        </w:tc>
        <w:tc>
          <w:tcPr>
            <w:tcW w:type="dxa" w:w="2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Collider bias section; empirical reversal table</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How do you influence stakeholders who don't understand statistics?</w:t>
            </w:r>
          </w:p>
        </w:tc>
        <w:tc>
          <w:tcPr>
            <w:tcW w:type="dxa" w:w="4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 use BLUF memos, probability language ('87% confident this works'), and dollar amounts first. I built a Streamlit dashboard so stakeholders can adjust parameters themselves. I avoid p-values entirely with non-technical audiences.</w:t>
            </w:r>
          </w:p>
        </w:tc>
        <w:tc>
          <w:tcPr>
            <w:tcW w:type="dxa" w:w="2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Executive summary; dashboard description</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What's your approach to causal inference?</w:t>
            </w:r>
          </w:p>
        </w:tc>
        <w:tc>
          <w:tcPr>
            <w:tcW w:type="dxa" w:w="4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Start with a causal DAG. Classify variables as confounders, mediators, colliders, or other treatments. Control only for valid pre-treatment exogenous confounders. If key variables are endogenous, design an experiment. I'm comfortable with PSW, DiD, IV, and RCT designs.</w:t>
            </w:r>
          </w:p>
        </w:tc>
        <w:tc>
          <w:tcPr>
            <w:tcW w:type="dxa" w:w="2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Full causal inference section</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How do you balance rigor with speed?</w:t>
            </w:r>
          </w:p>
        </w:tc>
        <w:tc>
          <w:tcPr>
            <w:tcW w:type="dxa" w:w="4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Two-track approach: Quick wins (high confidence, act now) + experiments (rigorous, act after). I quantify the expected cost of delay for high-confidence interventions. For uncertain effects, pre-register and run the experiment.</w:t>
            </w:r>
          </w:p>
        </w:tc>
        <w:tc>
          <w:tcPr>
            <w:tcW w:type="dxa" w:w="2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Implementation calendar; quick wins section</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Walk me through your data science toolkit</w:t>
            </w:r>
          </w:p>
        </w:tc>
        <w:tc>
          <w:tcPr>
            <w:tcW w:type="dxa" w:w="42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Python (PyMC, scikit-learn, pandas, matplotlib, Streamlit), SQL for production data extraction, MLflow for experiment tracking, Bayesian methods for sequential testing. Familiar with Vertex AI and BigQuery as production analogs.</w:t>
            </w:r>
          </w:p>
        </w:tc>
        <w:tc>
          <w:tcPr>
            <w:tcW w:type="dxa" w:w="27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Data lifecycle section; SQL enhancement suggestion</w:t>
            </w:r>
          </w:p>
        </w:tc>
      </w:tr>
    </w:tbl>
    <w:p>
      <w:r>
        <w:br w:type="page"/>
      </w:r>
    </w:p>
    <w:p>
      <w:pPr>
        <w:pStyle w:val="Heading1"/>
        <w:shd w:fill="1558B0" w:val="clear"/>
        <w:spacing w:before="360" w:after="160"/>
        <w:ind w:left="200"/>
      </w:pPr>
      <w:r>
        <w:rPr>
          <w:rFonts w:ascii="Arial" w:cs="Arial" w:eastAsia="Arial" w:hAnsi="Arial"/>
          <w:b/>
          <w:bCs/>
          <w:color w:val="FFFFFF"/>
          <w:sz w:val="28"/>
          <w:szCs w:val="28"/>
        </w:rPr>
        <w:t xml:space="preserve">8. Suggested Changes to Testing for Google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8F0FE" w:val="clear"/>
            <w:tcMar>
              <w:top w:type="dxa" w:w="120"/>
              <w:left w:type="dxa" w:w="200"/>
              <w:bottom w:type="dxa" w:w="120"/>
              <w:right w:type="dxa" w:w="200"/>
            </w:tcMar>
          </w:tcPr>
          <w:p>
            <w:pPr>
              <w:spacing w:before="40" w:after="40"/>
            </w:pPr>
            <w:r>
              <w:rPr>
                <w:rFonts w:ascii="Arial" w:cs="Arial" w:eastAsia="Arial" w:hAnsi="Arial"/>
                <w:b/>
                <w:bCs/>
                <w:color w:val="1558B0"/>
                <w:sz w:val="20"/>
                <w:szCs w:val="20"/>
              </w:rPr>
              <w:t xml:space="preserve">Your Request</w:t>
            </w:r>
          </w:p>
          <w:p>
            <w:pPr>
              <w:spacing w:before="20" w:after="20"/>
            </w:pPr>
            <w:r>
              <w:rPr>
                <w:rFonts w:ascii="Arial" w:cs="Arial" w:eastAsia="Arial" w:hAnsi="Arial"/>
                <w:color w:val="202124"/>
                <w:sz w:val="20"/>
                <w:szCs w:val="20"/>
              </w:rPr>
              <w:t xml:space="preserve">This section directly addresses your request to suggest changes to the testing approach where needed. Each suggestion is marked with its priority and the specific Google role requirement it addresses.</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8.1 Changes That Strengthen the Portfolio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gridCol w:w="960"/>
      </w:tblGrid>
      <w:tr>
        <w:trPr>
          <w:tblHeader/>
        </w:trPr>
        <w:tc>
          <w:tcPr>
            <w:tcW w:type="dxa" w:w="1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dxa" w:w="1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Original Approach</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Suggested Change</w:t>
            </w:r>
          </w:p>
        </w:tc>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(Google Alignment)</w:t>
            </w:r>
          </w:p>
        </w:tc>
        <w:tc>
          <w:tcPr>
            <w:tcW w:type="dxa" w:w="9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Add holdout group</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No holdout — all eligible customers in experiment</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Reserve 200 customers in a global holdout excluded from all experiments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Google standard: validates no cross-experiment contamination; required for compliance-grade experiments</w:t>
            </w:r>
          </w:p>
        </w:tc>
        <w:tc>
          <w:tcPr>
            <w:tcW w:type="dxa" w:w="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Low — just exclude from randomization list</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Increase n to 120/cell</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100 per cell for 8 conditions = 800 total</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120 per cell = 960 total + 200 holdout = 1,160</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Multiple comparisons correction (BH) reduces effective power per test; 120 restores target power</w:t>
            </w:r>
          </w:p>
        </w:tc>
        <w:tc>
          <w:tcPr>
            <w:tcW w:type="dxa" w:w="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Low — adjust sample size docs only</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Pre-register the analysis</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No pre-registration mentioned</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Submit pre-registration to OSF before enrollment; document primary vs exploratory outcomes</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Critical for Policy/Risk/Compliance analytics — provides audit trail and prevents p-hacking narrative</w:t>
            </w:r>
          </w:p>
        </w:tc>
        <w:tc>
          <w:tcPr>
            <w:tcW w:type="dxa" w:w="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Low — template exists; 1-2 hours</w:t>
            </w:r>
          </w:p>
        </w:tc>
      </w:tr>
      <w:tr>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Add DiD as alternative method</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Only Bayesian A/B and propensity weighting</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Propose DiD framework for any geographic variation in pricing or policy rollout</w:t>
            </w:r>
          </w:p>
        </w:tc>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Google's policy evaluation teams use DiD extensively; shows breadth of causal toolkit</w:t>
            </w:r>
          </w:p>
        </w:tc>
        <w:tc>
          <w:tcPr>
            <w:tcW w:type="dxa" w:w="9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Medium — add a section and pseudocode</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Reframe as 'policy experiment'</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Framed as A/B test / marketing experiment</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Call it a controlled policy experiment; use policy evaluation language throughout</w:t>
            </w:r>
          </w:p>
        </w:tc>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Direct alignment to 'Policy, Risk, and Compliance strategy' role requirement</w:t>
            </w:r>
          </w:p>
        </w:tc>
        <w:tc>
          <w:tcPr>
            <w:tcW w:type="dxa" w:w="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Very low — language change only</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8.2 Changes That Add Value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dxa" w:w="36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c>
          <w:tcPr>
            <w:tcW w:type="dxa" w:w="33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Implementation Note</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Add SQL data pipeline script to GitHub</w:t>
            </w:r>
          </w:p>
        </w:tc>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Directly addresses SQL requirement in job description; shows production readiness</w:t>
            </w:r>
          </w:p>
        </w:tc>
        <w:tc>
          <w:tcPr>
            <w:tcW w:type="dxa" w:w="3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Create churn_risk_pipeline.sql with 5 CTEs; include README note about BigQuery deployment</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Add CUPED variance reduction technique</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Google A/B testing teams use CUPED (Controlled-experiment Using Pre-Experiment Data) to reduce variance and require smaller sample sizes. Mentioning it signals insider knowledge.</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Add a section explaining CUPED with the pre-experiment churn rate as the covariate; no code required</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Add a regression discontinuity sketch</w:t>
            </w:r>
          </w:p>
        </w:tc>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If contract renewal is assigned at a precise tenure threshold (e.g., 12 months), an RD design is valid. Show you considered it even if not applicable.</w:t>
            </w:r>
          </w:p>
        </w:tc>
        <w:tc>
          <w:tcPr>
            <w:tcW w:type="dxa" w:w="3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One paragraph + table showing RD viability assessment</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Sensitivity analysis for Bayesian priors</w:t>
            </w:r>
          </w:p>
        </w:tc>
        <w:tc>
          <w:tcPr>
            <w:tcW w:type="dxa" w:w="36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Prior sensitivity is a standard question in Bayesian peer review; shows statistical maturity</w:t>
            </w:r>
          </w:p>
        </w:tc>
        <w:tc>
          <w:tcPr>
            <w:tcW w:type="dxa" w:w="33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Run the model with vague vs informative priors; show results converge — validates prior choice</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Add interaction power analysis</w:t>
            </w:r>
          </w:p>
        </w:tc>
        <w:tc>
          <w:tcPr>
            <w:tcW w:type="dxa" w:w="3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Current power analysis is per main effect. Interactions require larger n. Showing you know this is a differentiator.</w:t>
            </w:r>
          </w:p>
        </w:tc>
        <w:tc>
          <w:tcPr>
            <w:tcW w:type="dxa" w:w="3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Table showing that AB/AC/BC interactions are underpowered at n=100 → justifies n=120 recommendation</w:t>
            </w:r>
          </w:p>
        </w:tc>
      </w:tr>
    </w:tbl>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8.3 Changes NOT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Proposed Change</w:t>
            </w:r>
          </w:p>
        </w:tc>
        <w:tc>
          <w:tcPr>
            <w:tcW w:type="dxa" w:w="180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c>
          <w:tcPr>
            <w:tcW w:type="dxa" w:w="5160"/>
            <w:tcBorders>
              <w:top w:val="single" w:color="DADCE0" w:sz="1"/>
              <w:left w:val="single" w:color="DADCE0" w:sz="1"/>
              <w:bottom w:val="single" w:color="DADCE0" w:sz="1"/>
              <w:right w:val="single" w:color="DADCE0" w:sz="1"/>
            </w:tcBorders>
            <w:shd w:fill="1558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Reason</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Switch from Bayesian to frequentist</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Do NOT change</w:t>
            </w:r>
          </w:p>
        </w:tc>
        <w:tc>
          <w:tcPr>
            <w:tcW w:type="dxa" w:w="5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Bayesian is a differentiator; Google's experimentation teams use both. Frequentist would be less impressive for this portfolio.</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Simplify to a single A/B test</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Do NOT change</w:t>
            </w:r>
          </w:p>
        </w:tc>
        <w:tc>
          <w:tcPr>
            <w:tcW w:type="dxa" w:w="5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The 2x2x2 factorial is more sophisticated and directly maps to the ambiguous-problem-solving requirement. Simplifying loses this.</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Remove the causal critique section</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Do NOT change</w:t>
            </w:r>
          </w:p>
        </w:tc>
        <w:tc>
          <w:tcPr>
            <w:tcW w:type="dxa" w:w="51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The collider bias catch is the most impressive part of the portfolio. It signals the exact type of critical thinking the Google role demands.</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Conduct the actual experiment</w:t>
            </w:r>
          </w:p>
        </w:tc>
        <w:tc>
          <w:tcPr>
            <w:tcW w:type="dxa" w:w="18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Not needed</w:t>
            </w:r>
          </w:p>
        </w:tc>
        <w:tc>
          <w:tcPr>
            <w:tcW w:type="dxa" w:w="516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You stated this is a portfolio/research project. Proposing a rigorous design is the deliverable; recruiters understand the difference.</w:t>
            </w:r>
          </w:p>
        </w:tc>
      </w:tr>
    </w:tbl>
    <w:p>
      <w:r>
        <w:br w:type="page"/>
      </w:r>
    </w:p>
    <w:p>
      <w:pPr>
        <w:pStyle w:val="Heading1"/>
        <w:shd w:fill="1558B0" w:val="clear"/>
        <w:spacing w:before="360" w:after="160"/>
        <w:ind w:left="200"/>
      </w:pPr>
      <w:r>
        <w:rPr>
          <w:rFonts w:ascii="Arial" w:cs="Arial" w:eastAsia="Arial" w:hAnsi="Arial"/>
          <w:b/>
          <w:bCs/>
          <w:color w:val="FFFFFF"/>
          <w:sz w:val="28"/>
          <w:szCs w:val="28"/>
        </w:rPr>
        <w:t xml:space="preserve">9. Google-Aligned Portfolio Completion Checklist</w:t>
      </w:r>
    </w:p>
    <w:p>
      <w:pPr>
        <w:pStyle w:val="Heading2"/>
        <w:pBdr>
          <w:bottom w:val="single" w:color="1A73E8" w:sz="4" w:space="1"/>
        </w:pBdr>
        <w:spacing w:before="280" w:after="100"/>
      </w:pPr>
      <w:r>
        <w:rPr>
          <w:rFonts w:ascii="Arial" w:cs="Arial" w:eastAsia="Arial" w:hAnsi="Arial"/>
          <w:b/>
          <w:bCs/>
          <w:color w:val="1558B0"/>
          <w:sz w:val="24"/>
          <w:szCs w:val="24"/>
        </w:rPr>
        <w:t xml:space="preserve">9.1 Critical — Do Before Applying</w:t>
      </w:r>
    </w:p>
    <w:p>
      <w:pPr>
        <w:pStyle w:val="ListParagraph"/>
        <w:numPr>
          <w:ilvl w:val="0"/>
          <w:numId w:val="3"/>
        </w:numPr>
        <w:spacing w:before="40" w:after="40"/>
      </w:pPr>
      <w:r>
        <w:rPr>
          <w:rFonts w:ascii="Arial" w:cs="Arial" w:eastAsia="Arial" w:hAnsi="Arial"/>
          <w:color w:val="202124"/>
          <w:sz w:val="20"/>
          <w:szCs w:val="20"/>
        </w:rPr>
        <w:t xml:space="preserve">Update GitHub README with explicit Google BizOps framing: 'Full lifecycle ownership: pipeline → causal inference → policy experiment design → executive recommendation'</w:t>
      </w:r>
    </w:p>
    <w:p>
      <w:pPr>
        <w:pStyle w:val="ListParagraph"/>
        <w:numPr>
          <w:ilvl w:val="0"/>
          <w:numId w:val="3"/>
        </w:numPr>
        <w:spacing w:before="40" w:after="40"/>
      </w:pPr>
      <w:r>
        <w:rPr>
          <w:rFonts w:ascii="Arial" w:cs="Arial" w:eastAsia="Arial" w:hAnsi="Arial"/>
          <w:color w:val="202124"/>
          <w:sz w:val="20"/>
          <w:szCs w:val="20"/>
        </w:rPr>
        <w:t xml:space="preserve">Add churn_risk_pipeline.sql to the repo (even as pseudocode with comments) — directly addresses SQL requirement</w:t>
      </w:r>
    </w:p>
    <w:p>
      <w:pPr>
        <w:pStyle w:val="ListParagraph"/>
        <w:numPr>
          <w:ilvl w:val="0"/>
          <w:numId w:val="3"/>
        </w:numPr>
        <w:spacing w:before="40" w:after="40"/>
      </w:pPr>
      <w:r>
        <w:rPr>
          <w:rFonts w:ascii="Arial" w:cs="Arial" w:eastAsia="Arial" w:hAnsi="Arial"/>
          <w:color w:val="202124"/>
          <w:sz w:val="20"/>
          <w:szCs w:val="20"/>
        </w:rPr>
        <w:t xml:space="preserve">Add a 'Causal Inference: What I Got Wrong and Fixed' section to README — this is the differentiating story</w:t>
      </w:r>
    </w:p>
    <w:p>
      <w:pPr>
        <w:pStyle w:val="ListParagraph"/>
        <w:numPr>
          <w:ilvl w:val="0"/>
          <w:numId w:val="3"/>
        </w:numPr>
        <w:spacing w:before="40" w:after="40"/>
      </w:pPr>
      <w:r>
        <w:rPr>
          <w:rFonts w:ascii="Arial" w:cs="Arial" w:eastAsia="Arial" w:hAnsi="Arial"/>
          <w:color w:val="202124"/>
          <w:sz w:val="20"/>
          <w:szCs w:val="20"/>
        </w:rPr>
        <w:t xml:space="preserve">Add the global holdout group to the experimental design documentation</w:t>
      </w:r>
    </w:p>
    <w:p>
      <w:pPr>
        <w:pStyle w:val="ListParagraph"/>
        <w:numPr>
          <w:ilvl w:val="0"/>
          <w:numId w:val="3"/>
        </w:numPr>
        <w:spacing w:before="40" w:after="40"/>
      </w:pPr>
      <w:r>
        <w:rPr>
          <w:rFonts w:ascii="Arial" w:cs="Arial" w:eastAsia="Arial" w:hAnsi="Arial"/>
          <w:color w:val="202124"/>
          <w:sz w:val="20"/>
          <w:szCs w:val="20"/>
        </w:rPr>
        <w:t xml:space="preserve">Add the pre-registration step to the experimental protocol</w:t>
      </w:r>
    </w:p>
    <w:p>
      <w:pPr>
        <w:pStyle w:val="ListParagraph"/>
        <w:numPr>
          <w:ilvl w:val="0"/>
          <w:numId w:val="3"/>
        </w:numPr>
        <w:spacing w:before="40" w:after="40"/>
      </w:pPr>
      <w:r>
        <w:rPr>
          <w:rFonts w:ascii="Arial" w:cs="Arial" w:eastAsia="Arial" w:hAnsi="Arial"/>
          <w:color w:val="202124"/>
          <w:sz w:val="20"/>
          <w:szCs w:val="20"/>
        </w:rPr>
        <w:t xml:space="preserve">Prepare the 5-minute pitch from Section 7.2 and time yourself</w:t>
      </w:r>
    </w:p>
    <w:p>
      <w:pPr>
        <w:pStyle w:val="ListParagraph"/>
        <w:numPr>
          <w:ilvl w:val="0"/>
          <w:numId w:val="3"/>
        </w:numPr>
        <w:spacing w:before="40" w:after="40"/>
      </w:pPr>
      <w:r>
        <w:rPr>
          <w:rFonts w:ascii="Arial" w:cs="Arial" w:eastAsia="Arial" w:hAnsi="Arial"/>
          <w:color w:val="202124"/>
          <w:sz w:val="20"/>
          <w:szCs w:val="20"/>
        </w:rPr>
        <w:t xml:space="preserve">Prepare answers to the 6 Google interview questions in Section 7.3</w:t>
      </w:r>
    </w:p>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9.2 High Value — Do in First Week</w:t>
      </w:r>
    </w:p>
    <w:p>
      <w:pPr>
        <w:pStyle w:val="ListParagraph"/>
        <w:numPr>
          <w:ilvl w:val="0"/>
          <w:numId w:val="3"/>
        </w:numPr>
        <w:spacing w:before="40" w:after="40"/>
      </w:pPr>
      <w:r>
        <w:rPr>
          <w:rFonts w:ascii="Arial" w:cs="Arial" w:eastAsia="Arial" w:hAnsi="Arial"/>
          <w:color w:val="202124"/>
          <w:sz w:val="20"/>
          <w:szCs w:val="20"/>
        </w:rPr>
        <w:t xml:space="preserve">Add a CUPED variance reduction note to the power analysis section</w:t>
      </w:r>
    </w:p>
    <w:p>
      <w:pPr>
        <w:pStyle w:val="ListParagraph"/>
        <w:numPr>
          <w:ilvl w:val="0"/>
          <w:numId w:val="3"/>
        </w:numPr>
        <w:spacing w:before="40" w:after="40"/>
      </w:pPr>
      <w:r>
        <w:rPr>
          <w:rFonts w:ascii="Arial" w:cs="Arial" w:eastAsia="Arial" w:hAnsi="Arial"/>
          <w:color w:val="202124"/>
          <w:sz w:val="20"/>
          <w:szCs w:val="20"/>
        </w:rPr>
        <w:t xml:space="preserve">Add a DiD framework sketch for the payment method question</w:t>
      </w:r>
    </w:p>
    <w:p>
      <w:pPr>
        <w:pStyle w:val="ListParagraph"/>
        <w:numPr>
          <w:ilvl w:val="0"/>
          <w:numId w:val="3"/>
        </w:numPr>
        <w:spacing w:before="40" w:after="40"/>
      </w:pPr>
      <w:r>
        <w:rPr>
          <w:rFonts w:ascii="Arial" w:cs="Arial" w:eastAsia="Arial" w:hAnsi="Arial"/>
          <w:color w:val="202124"/>
          <w:sz w:val="20"/>
          <w:szCs w:val="20"/>
        </w:rPr>
        <w:t xml:space="preserve">Create the BLUF executive memo template (Section 7.1) as a standalone one-pager</w:t>
      </w:r>
    </w:p>
    <w:p>
      <w:pPr>
        <w:pStyle w:val="ListParagraph"/>
        <w:numPr>
          <w:ilvl w:val="0"/>
          <w:numId w:val="3"/>
        </w:numPr>
        <w:spacing w:before="40" w:after="40"/>
      </w:pPr>
      <w:r>
        <w:rPr>
          <w:rFonts w:ascii="Arial" w:cs="Arial" w:eastAsia="Arial" w:hAnsi="Arial"/>
          <w:color w:val="202124"/>
          <w:sz w:val="20"/>
          <w:szCs w:val="20"/>
        </w:rPr>
        <w:t xml:space="preserve">Record a 5-minute Loom video walking through the causal correction story (best differentiator for async screening)</w:t>
      </w:r>
    </w:p>
    <w:p>
      <w:pPr>
        <w:pStyle w:val="ListParagraph"/>
        <w:numPr>
          <w:ilvl w:val="0"/>
          <w:numId w:val="3"/>
        </w:numPr>
        <w:spacing w:before="40" w:after="40"/>
      </w:pPr>
      <w:r>
        <w:rPr>
          <w:rFonts w:ascii="Arial" w:cs="Arial" w:eastAsia="Arial" w:hAnsi="Arial"/>
          <w:color w:val="202124"/>
          <w:sz w:val="20"/>
          <w:szCs w:val="20"/>
        </w:rPr>
        <w:t xml:space="preserve">Add a 'Production Deployment' section to README mapping each script to its Google Cloud analog</w:t>
      </w:r>
    </w:p>
    <w:p>
      <w:pPr>
        <w:spacing w:before="80" w:after="80"/>
      </w:pPr>
      <w:r>
        <w:t xml:space="preserve"/>
      </w:r>
    </w:p>
    <w:p>
      <w:pPr>
        <w:pStyle w:val="Heading2"/>
        <w:pBdr>
          <w:bottom w:val="single" w:color="1A73E8" w:sz="4" w:space="1"/>
        </w:pBdr>
        <w:spacing w:before="280" w:after="100"/>
      </w:pPr>
      <w:r>
        <w:rPr>
          <w:rFonts w:ascii="Arial" w:cs="Arial" w:eastAsia="Arial" w:hAnsi="Arial"/>
          <w:b/>
          <w:bCs/>
          <w:color w:val="1558B0"/>
          <w:sz w:val="24"/>
          <w:szCs w:val="24"/>
        </w:rPr>
        <w:t xml:space="preserve">9.3 Nice to Have</w:t>
      </w:r>
    </w:p>
    <w:p>
      <w:pPr>
        <w:pStyle w:val="ListParagraph"/>
        <w:numPr>
          <w:ilvl w:val="0"/>
          <w:numId w:val="3"/>
        </w:numPr>
        <w:spacing w:before="40" w:after="40"/>
      </w:pPr>
      <w:r>
        <w:rPr>
          <w:rFonts w:ascii="Arial" w:cs="Arial" w:eastAsia="Arial" w:hAnsi="Arial"/>
          <w:color w:val="202124"/>
          <w:sz w:val="20"/>
          <w:szCs w:val="20"/>
        </w:rPr>
        <w:t xml:space="preserve">Write a Medium/Substack post: 'How I Found Collider Bias in My Own Analysis'</w:t>
      </w:r>
    </w:p>
    <w:p>
      <w:pPr>
        <w:pStyle w:val="ListParagraph"/>
        <w:numPr>
          <w:ilvl w:val="0"/>
          <w:numId w:val="3"/>
        </w:numPr>
        <w:spacing w:before="40" w:after="40"/>
      </w:pPr>
      <w:r>
        <w:rPr>
          <w:rFonts w:ascii="Arial" w:cs="Arial" w:eastAsia="Arial" w:hAnsi="Arial"/>
          <w:color w:val="202124"/>
          <w:sz w:val="20"/>
          <w:szCs w:val="20"/>
        </w:rPr>
        <w:t xml:space="preserve">Add a Jupyter notebook version for interactive exploration</w:t>
      </w:r>
    </w:p>
    <w:p>
      <w:pPr>
        <w:pStyle w:val="ListParagraph"/>
        <w:numPr>
          <w:ilvl w:val="0"/>
          <w:numId w:val="3"/>
        </w:numPr>
        <w:spacing w:before="40" w:after="40"/>
      </w:pPr>
      <w:r>
        <w:rPr>
          <w:rFonts w:ascii="Arial" w:cs="Arial" w:eastAsia="Arial" w:hAnsi="Arial"/>
          <w:color w:val="202124"/>
          <w:sz w:val="20"/>
          <w:szCs w:val="20"/>
        </w:rPr>
        <w:t xml:space="preserve">Add unit tests to the causal inference scripts</w:t>
      </w:r>
    </w:p>
    <w:p>
      <w:pPr>
        <w:pStyle w:val="ListParagraph"/>
        <w:numPr>
          <w:ilvl w:val="0"/>
          <w:numId w:val="3"/>
        </w:numPr>
        <w:spacing w:before="40" w:after="40"/>
      </w:pPr>
      <w:r>
        <w:rPr>
          <w:rFonts w:ascii="Arial" w:cs="Arial" w:eastAsia="Arial" w:hAnsi="Arial"/>
          <w:color w:val="202124"/>
          <w:sz w:val="20"/>
          <w:szCs w:val="20"/>
        </w:rPr>
        <w:t xml:space="preserve">Add sensitivity analysis section showing prior robustness</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558B0" w:val="clear"/>
            <w:tcMar>
              <w:top w:type="dxa" w:w="200"/>
              <w:left w:type="dxa" w:w="400"/>
              <w:bottom w:type="dxa" w:w="200"/>
              <w:right w:type="dxa" w:w="400"/>
            </w:tcMar>
          </w:tcPr>
          <w:p>
            <w:pPr>
              <w:spacing w:before="0" w:after="80"/>
              <w:jc w:val="center"/>
            </w:pPr>
            <w:r>
              <w:rPr>
                <w:rFonts w:ascii="Arial" w:cs="Arial" w:eastAsia="Arial" w:hAnsi="Arial"/>
                <w:b/>
                <w:bCs/>
                <w:color w:val="FFFFFF"/>
                <w:sz w:val="22"/>
                <w:szCs w:val="22"/>
              </w:rPr>
              <w:t xml:space="preserve">Customer Risk &amp; Retention Analysis — Google GBS&amp;O Alignment</w:t>
            </w:r>
          </w:p>
          <w:p>
            <w:pPr>
              <w:spacing w:before="0" w:after="0"/>
              <w:jc w:val="center"/>
            </w:pPr>
            <w:r>
              <w:rPr>
                <w:rFonts w:ascii="Arial" w:cs="Arial" w:eastAsia="Arial" w:hAnsi="Arial"/>
                <w:color w:val="C6DAFC"/>
                <w:sz w:val="18"/>
                <w:szCs w:val="18"/>
              </w:rPr>
              <w:t xml:space="preserve">Full Lifecycle  |  Causal Inference  |  Policy Experiment Design  |  $372K Impact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1"/>
      </w:pBdr>
    </w:pPr>
    <w:r>
      <w:rPr>
        <w:rFonts w:ascii="Arial" w:cs="Arial" w:eastAsia="Arial" w:hAnsi="Arial"/>
        <w:color w:val="5F6368"/>
        <w:sz w:val="16"/>
        <w:szCs w:val="16"/>
      </w:rPr>
      <w:t xml:space="preserve">Portfolio Project — Interview Ready</w:t>
    </w:r>
    <w:r>
      <w:rPr>
        <w:rFonts w:ascii="Arial" w:cs="Arial" w:eastAsia="Arial" w:hAnsi="Arial"/>
        <w:color w:val="5F6368"/>
        <w:sz w:val="16"/>
        <w:szCs w:val="16"/>
      </w:rPr>
      <w:t xml:space="preserve">     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1"/>
      </w:pBdr>
    </w:pPr>
    <w:r>
      <w:rPr>
        <w:rFonts w:ascii="Arial" w:cs="Arial" w:eastAsia="Arial" w:hAnsi="Arial"/>
        <w:color w:val="5F6368"/>
        <w:sz w:val="18"/>
        <w:szCs w:val="18"/>
      </w:rPr>
      <w:t xml:space="preserve">Customer Risk &amp; Retention | Google BizOps Portfolio Alignment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558B0"/>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73E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2026-02-21T01:58:30.074Z</dcterms:created>
  <dcterms:modified xsi:type="dcterms:W3CDTF">2026-02-21T01:58:30.074Z</dcterms:modified>
</cp:coreProperties>
</file>

<file path=docProps/custom.xml><?xml version="1.0" encoding="utf-8"?>
<Properties xmlns="http://schemas.openxmlformats.org/officeDocument/2006/custom-properties" xmlns:vt="http://schemas.openxmlformats.org/officeDocument/2006/docPropsVTypes"/>
</file>