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Card</w:t>
      </w:r>
    </w:p>
    <w:p>
      <w:pPr>
        <w:spacing w:after="60"/>
      </w:pPr>
      <w:r>
        <w:rPr>
          <w:b/>
          <w:bCs/>
          <w:sz w:val="26"/>
          <w:szCs w:val="26"/>
        </w:rPr>
        <w:t xml:space="preserve">Telco Customer Churn</w:t>
      </w:r>
    </w:p>
    <w:p>
      <w:pPr>
        <w:pBdr>
          <w:bottom w:val="single" w:color="1F4E79" w:sz="8" w:space="8"/>
        </w:pBdr>
        <w:spacing w:after="260"/>
      </w:pPr>
      <w:r>
        <w:rPr>
          <w:color w:val="595959"/>
          <w:sz w:val="19"/>
          <w:szCs w:val="19"/>
        </w:rPr>
        <w:t xml:space="preserve">Repository: Customer_Churn_Analysis   ·   Ella Ndalla, ndallaella@gmail.com</w:t>
      </w:r>
    </w:p>
    <w:p>
      <w:r>
        <w:t xml:space="preserve">A widely used telecommunications customer dataset: 7,043 subscribers with account, service, billing, and demographic attributes plus a binary churn flag. Used for churn prediction, Bayesian causal validation, and experimental design.</w:t>
      </w:r>
    </w:p>
    <w:p>
      <w:pPr>
        <w:pStyle w:val="Heading1"/>
      </w:pPr>
      <w:r>
        <w:t xml:space="preserve">Provenance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Source: Kaggle / IBM Sample Data — Telco Customer Churn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Link: </w:t>
      </w:r>
      <w:hyperlink w:history="1" r:id="rIdvabhepfxdsemxugab6xdc">
        <w:r>
          <w:rPr>
            <w:color w:val="0563C1"/>
            <w:u w:val="single"/>
          </w:rPr>
          <w:t xml:space="preserve">https://www.kaggle.com/datasets/blastchar/telco-customer-churn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t xml:space="preserve">Snapshot: IBM sample dataset, circa 2018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License / terms: Published by IBM as sample data and redistributed on Kaggle for public use. Commonly treated as freely usable for education and research; verify terms before commercial use.</w:t>
      </w:r>
    </w:p>
    <w:p>
      <w:pPr>
        <w:pStyle w:val="Heading2"/>
      </w:pPr>
      <w:r>
        <w:t xml:space="preserve">Collection</w:t>
      </w:r>
    </w:p>
    <w:p>
      <w:r>
        <w:t xml:space="preserve">A fictionalized extract modeled on a telecommunications CRM, distributed by IBM as demonstration data for analytics tooling. It is a single flat snapshot with no temporal dimension beyond the tenure field — there is no event log, so churn timing cannot be reconstructed.</w:t>
      </w:r>
    </w:p>
    <w:p>
      <w:pPr>
        <w:pStyle w:val="Heading2"/>
      </w:pPr>
      <w:r>
        <w:t xml:space="preserve">Maintenance</w:t>
      </w:r>
    </w:p>
    <w:p>
      <w:r>
        <w:t xml:space="preserve">Static sample dataset; IBM has not versioned it. No refresh path exists in this project.</w:t>
      </w:r>
    </w:p>
    <w:p>
      <w:pPr>
        <w:pStyle w:val="Heading1"/>
      </w:pPr>
      <w:r>
        <w:t xml:space="preserve">Construction</w:t>
      </w:r>
    </w:p>
    <w:p>
      <w:pPr>
        <w:pStyle w:val="Heading2"/>
      </w:pPr>
      <w:r>
        <w:t xml:space="preserve">Labeling</w:t>
      </w:r>
    </w:p>
    <w:p>
      <w:r>
        <w:t xml:space="preserve">Churn (Yes/No) is a system-of-record status flag at snapshot time, not a human annotation. Profiled churn rate is 26.54% (1,869 of 7,043), matching the project's stated baseline. The label carries no date, so 'churned' means 'had churned by the snapshot', which is what makes tenure a collider on the causal path.</w:t>
      </w:r>
    </w:p>
    <w:p>
      <w:pPr>
        <w:pStyle w:val="Heading2"/>
      </w:pPr>
      <w:r>
        <w:t xml:space="preserve">Preprocessing</w:t>
      </w:r>
    </w:p>
    <w:p>
      <w:r>
        <w:t xml:space="preserve">PySpark EDA; SMOTE oversampling for class balance before H2O AutoML training. For causal work, adjustment is restricted to exogenous pre-treatment demographics (SeniorCitizen, Dependents, Partner, Gender) — tenure, contract type, payment method, and charges are deliberately excluded as collider, co-treatment, and mediator respectively.</w:t>
      </w:r>
    </w:p>
    <w:p>
      <w:pPr>
        <w:pStyle w:val="Heading2"/>
      </w:pPr>
      <w:r>
        <w:t xml:space="preserve">Splits</w:t>
      </w:r>
    </w:p>
    <w:p>
      <w:r>
        <w:t xml:space="preserve">Standard train/test split for the predictive phase with SMOTE applied to training only. The causal and experimental phases do not split; they estimate on the full table and then design prospective randomized tests with stratified randomization.</w:t>
      </w:r>
    </w:p>
    <w:p>
      <w:pPr>
        <w:pStyle w:val="Heading1"/>
      </w:pPr>
      <w:r>
        <w:t xml:space="preserve">Sensitive &amp; Personal Data</w:t>
      </w:r>
    </w:p>
    <w:p>
      <w:r>
        <w:t xml:space="preserve">Contains customer-level demographics — gender, senior citizen status, partner and dependent status — alongside billing amounts. customerID is a surrogate key with no external meaning. Because these demographics appear in BOTH the predictive feature set and the causal adjustment set, model-scored retention offers could distribute unevenly across protected groups.</w:t>
      </w:r>
    </w:p>
    <w:p>
      <w:pPr>
        <w:pStyle w:val="Heading1"/>
      </w:pPr>
      <w:r>
        <w:t xml:space="preserve">Intended Use</w:t>
      </w:r>
    </w:p>
    <w:p>
      <w:pPr>
        <w:pStyle w:val="Heading2"/>
      </w:pPr>
      <w:r>
        <w:t xml:space="preserve">Recommended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Churn modeling under class imbalance.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Demonstrating collider bias detection and correction in observational causal analysis.</w:t>
      </w:r>
    </w:p>
    <w:p>
      <w:pPr>
        <w:pStyle w:val="Heading2"/>
      </w:pPr>
      <w:r>
        <w:t xml:space="preserve">Discouraged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Transferring coefficients or churn drivers to a real telco — the data is fictionalized.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Using demographic effects to target or price offers.</w:t>
      </w:r>
    </w:p>
    <w:p>
      <w:pPr>
        <w:pStyle w:val="Heading1"/>
      </w:pPr>
      <w:r>
        <w:t xml:space="preserve">Known Issues, Skews &amp; Gaps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TotalCharges is stored as TEXT, not numeric, because 11 rows contain a blank string instead of a value. All 11 are customers with tenure = 0 (never billed). A naive pd.to_numeric or astype(float) will raise, and a silent coerce turns them into NaN — worth handling explicitly since these are exactly the new customers the early-tenure hypothesis concerns.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other missing values: 0% nulls across all 21 columns, and no duplicate rows.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Service columns encode 'No internet service' / 'No phone service' as a third level rather than as missing — 21.67% of rows for the six internet-dependent columns. One-hot encoding without collapsing these creates perfectly collinear indicators.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Class imbalance is moderate (26.54% churn), which SMOTE addresses but at the cost of probability calibration.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tenure ranges 0-72 months with 73 distinct values, so the dataset spans at most six years of customer relationships — long-tenure behavior is unobserved.</w:t>
      </w:r>
    </w:p>
    <w:p>
      <w:pPr>
        <w:pStyle w:val="Heading1"/>
      </w:pPr>
      <w:r>
        <w:t xml:space="preserve">Profiled Schema</w:t>
      </w:r>
    </w:p>
    <w:p>
      <w:pPr>
        <w:pStyle w:val="Heading2"/>
      </w:pPr>
      <w:r>
        <w:t xml:space="preserve">WA_Fn-UseC_-Telco-Customer-Churn — raw Telco extract</w:t>
      </w:r>
    </w:p>
    <w:p>
      <w:pPr>
        <w:spacing w:after="80"/>
      </w:pPr>
      <w:r>
        <w:rPr>
          <w:color w:val="595959"/>
          <w:sz w:val="19"/>
          <w:szCs w:val="19"/>
        </w:rPr>
        <w:t xml:space="preserve">Rows: 7,043   ·   Columns: 21   ·   Duplicate rows: 0</w:t>
      </w:r>
    </w:p>
    <w:p>
      <w:pPr>
        <w:spacing w:after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Source file: Customer_Churn_Analysis/Raw_data/WA_Fn-UseC_-Telco-Customer-Churn.csv.xls</w:t>
      </w:r>
    </w:p>
    <w:p>
      <w:pPr>
        <w:pBdr>
          <w:left w:val="single" w:color="1F4E79" w:sz="12" w:space="8"/>
        </w:pBdr>
        <w:spacing w:after="140"/>
        <w:ind w:left="200"/>
      </w:pPr>
      <w:r>
        <w:rPr>
          <w:i/>
          <w:iCs/>
          <w:color w:val="333333"/>
          <w:sz w:val="19"/>
          <w:szCs w:val="19"/>
        </w:rPr>
        <w:t xml:space="preserve">Full file profiled. Despite the .xls extension the file is CSV.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060"/>
        <w:gridCol w:w="1240"/>
        <w:gridCol w:w="900"/>
        <w:gridCol w:w="1180"/>
        <w:gridCol w:w="3700"/>
      </w:tblGrid>
      <w:tr>
        <w:trPr>
          <w:tblHeader/>
        </w:trPr>
        <w:tc>
          <w:tcPr>
            <w:tcW w:type="dxa" w:w="306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Field</w:t>
            </w:r>
          </w:p>
        </w:tc>
        <w:tc>
          <w:tcPr>
            <w:tcW w:type="dxa" w:w="124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Null %</w:t>
            </w:r>
          </w:p>
        </w:tc>
        <w:tc>
          <w:tcPr>
            <w:tcW w:type="dxa" w:w="118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Distinct</w:t>
            </w:r>
          </w:p>
        </w:tc>
        <w:tc>
          <w:tcPr>
            <w:tcW w:type="dxa" w:w="3700"/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Range / top values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customerID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7,043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gender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Male 50.48% · Female 49.52%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SeniorCitizen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0 · med 0 · max 1 · mean 0.1621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Partner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51.7% · Yes 48.3%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Dependents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70.04% · Yes 29.96%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tenure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int64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0 · med 29 · max 72 · mean 32.37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PhoneService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90.32% · No 9.68%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MultipleLines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48.13% · Yes 42.18% · No phone service 9.68%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InternetService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Fiber optic 43.96% · DSL 34.37% · No 21.67%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OnlineSecurity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49.67% · Yes 28.67% · No internet service 21.67%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OnlineBackup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43.84% · Yes 34.49% · No internet service 21.67%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DeviceProtection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43.94% · Yes 34.39% · No internet service 21.67%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TechSupport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49.31% · Yes 29.02% · No internet service 21.67%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StreamingTV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39.9% · Yes 38.44% · No internet service 21.67%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StreamingMovies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39.54% · Yes 38.79% · No internet service 21.67%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Contract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Month-to-month 55.02% · Two year 24.07% · One year 20.91%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PaperlessBilling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59.22% · No 40.78%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Electronic check 33.58% · Mailed check 22.89% · Bank transfer (automatic) 21.92%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MonthlyCharges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float64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1,585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 18.25 · med 70.35 · max 118.8 · mean 64.76</w:t>
            </w:r>
          </w:p>
        </w:tc>
      </w:tr>
      <w:tr>
        <w:tc>
          <w:tcPr>
            <w:tcW w:type="dxa" w:w="30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TotalCharges</w:t>
            </w:r>
          </w:p>
        </w:tc>
        <w:tc>
          <w:tcPr>
            <w:tcW w:type="dxa" w:w="124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6,531</w:t>
            </w:r>
          </w:p>
        </w:tc>
        <w:tc>
          <w:tcPr>
            <w:tcW w:type="dxa" w:w="37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Churn</w:t>
            </w:r>
          </w:p>
        </w:tc>
        <w:tc>
          <w:tcPr>
            <w:tcW w:type="dxa" w:w="1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73.46% · Yes 26.54%</w:t>
            </w:r>
          </w:p>
        </w:tc>
      </w:tr>
    </w:tbl>
    <w:p>
      <w:pPr>
        <w:pBdr>
          <w:top w:val="single" w:color="D0D7DE" w:sz="4" w:space="8"/>
        </w:pBdr>
        <w:spacing w:before="360"/>
      </w:pPr>
      <w:r>
        <w:rPr>
          <w:i/>
          <w:iCs/>
          <w:color w:val="595959"/>
          <w:sz w:val="17"/>
          <w:szCs w:val="17"/>
        </w:rPr>
        <w:t xml:space="preserve">Schema, null rates, cardinality, and distributions were computed directly from the committed data. Narrative sections are documented from the project README and source materials.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DE" w:sz="6" w:space="6"/>
      </w:pBdr>
      <w:spacing w:after="130" w:before="34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2F5F8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80"/>
    </w:pPr>
    <w:rPr>
      <w:b/>
      <w:bCs/>
      <w:color w:val="3B3B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abhepfxdsemxugab6xdc" Type="http://schemas.openxmlformats.org/officeDocument/2006/relationships/hyperlink" Target="https://www.kaggle.com/datasets/blastchar/telco-customer-chur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2026-08-02T01:41:32.069Z</dcterms:created>
  <dcterms:modified xsi:type="dcterms:W3CDTF">2026-08-02T01:41:32.069Z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