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595959"/>
          <w:spacing w:val="60"/>
          <w:sz w:val="20"/>
          <w:szCs w:val="20"/>
        </w:rPr>
        <w:t xml:space="preserve">ML DESIGN DOCUMENT</w:t>
      </w:r>
    </w:p>
    <w:p>
      <w:pPr>
        <w:pStyle w:val="Title"/>
      </w:pPr>
      <w:r>
        <w:t xml:space="preserve">Telco Customer Churn — Prediction, Causal Validation, and Experimentation</w:t>
      </w:r>
    </w:p>
    <w:p>
      <w:pPr>
        <w:spacing w:after="240"/>
      </w:pPr>
      <w:r>
        <w:rPr>
          <w:color w:val="2F5F8F"/>
          <w:sz w:val="24"/>
          <w:szCs w:val="24"/>
        </w:rPr>
        <w:t xml:space="preserve">H2O AutoML, Bayesian causal correction, and a hierarchical A/B engine</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7440"/>
      </w:tblGrid>
      <w:tr>
        <w:tc>
          <w:tcPr>
            <w:tcW w:type="dxa" w:w="2400"/>
            <w:tcMar>
              <w:top w:type="dxa" w:w="70"/>
              <w:left w:type="dxa" w:w="110"/>
              <w:bottom w:type="dxa" w:w="70"/>
              <w:right w:type="dxa" w:w="110"/>
            </w:tcMar>
          </w:tcPr>
          <w:p>
            <w:pPr>
              <w:spacing w:after="0" w:line="250"/>
            </w:pPr>
            <w:r>
              <w:rPr>
                <w:b/>
                <w:bCs/>
                <w:color w:val="1F4E79"/>
                <w:sz w:val="18"/>
                <w:szCs w:val="18"/>
              </w:rPr>
              <w:t xml:space="preserve">Repository</w:t>
            </w:r>
          </w:p>
        </w:tc>
        <w:tc>
          <w:tcPr>
            <w:tcW w:type="dxa" w:w="7440"/>
            <w:tcMar>
              <w:top w:type="dxa" w:w="70"/>
              <w:left w:type="dxa" w:w="110"/>
              <w:bottom w:type="dxa" w:w="70"/>
              <w:right w:type="dxa" w:w="110"/>
            </w:tcMar>
          </w:tcPr>
          <w:p>
            <w:pPr>
              <w:spacing w:after="0" w:line="250"/>
            </w:pPr>
            <w:r>
              <w:rPr>
                <w:b w:val="false"/>
                <w:bCs w:val="false"/>
                <w:sz w:val="18"/>
                <w:szCs w:val="18"/>
              </w:rPr>
              <w:t xml:space="preserve">Customer_Churn_Analysis</w:t>
            </w:r>
          </w:p>
        </w:tc>
      </w:tr>
      <w:tr>
        <w:tc>
          <w:tcPr>
            <w:tcW w:type="dxa" w:w="2400"/>
            <w:shd w:fill="F7F9FB" w:color="auto" w:val="clear"/>
            <w:tcMar>
              <w:top w:type="dxa" w:w="70"/>
              <w:left w:type="dxa" w:w="110"/>
              <w:bottom w:type="dxa" w:w="70"/>
              <w:right w:type="dxa" w:w="110"/>
            </w:tcMar>
          </w:tcPr>
          <w:p>
            <w:pPr>
              <w:spacing w:after="0" w:line="250"/>
            </w:pPr>
            <w:r>
              <w:rPr>
                <w:b/>
                <w:bCs/>
                <w:color w:val="1F4E79"/>
                <w:sz w:val="18"/>
                <w:szCs w:val="18"/>
              </w:rPr>
              <w:t xml:space="preserve">Author</w:t>
            </w:r>
          </w:p>
        </w:tc>
        <w:tc>
          <w:tcPr>
            <w:tcW w:type="dxa" w:w="7440"/>
            <w:shd w:fill="F7F9FB" w:color="auto" w:val="clear"/>
            <w:tcMar>
              <w:top w:type="dxa" w:w="70"/>
              <w:left w:type="dxa" w:w="110"/>
              <w:bottom w:type="dxa" w:w="70"/>
              <w:right w:type="dxa" w:w="110"/>
            </w:tcMar>
          </w:tcPr>
          <w:p>
            <w:pPr>
              <w:spacing w:after="0" w:line="250"/>
            </w:pPr>
            <w:r>
              <w:rPr>
                <w:b w:val="false"/>
                <w:bCs w:val="false"/>
                <w:sz w:val="18"/>
                <w:szCs w:val="18"/>
              </w:rPr>
              <w:t xml:space="preserve">Ella Ndalla (ndallaella@gmail.com)</w:t>
            </w:r>
          </w:p>
        </w:tc>
      </w:tr>
      <w:tr>
        <w:tc>
          <w:tcPr>
            <w:tcW w:type="dxa" w:w="2400"/>
            <w:tcMar>
              <w:top w:type="dxa" w:w="70"/>
              <w:left w:type="dxa" w:w="110"/>
              <w:bottom w:type="dxa" w:w="70"/>
              <w:right w:type="dxa" w:w="110"/>
            </w:tcMar>
          </w:tcPr>
          <w:p>
            <w:pPr>
              <w:spacing w:after="0" w:line="250"/>
            </w:pPr>
            <w:r>
              <w:rPr>
                <w:b/>
                <w:bCs/>
                <w:color w:val="1F4E79"/>
                <w:sz w:val="18"/>
                <w:szCs w:val="18"/>
              </w:rPr>
              <w:t xml:space="preserve">Status</w:t>
            </w:r>
          </w:p>
        </w:tc>
        <w:tc>
          <w:tcPr>
            <w:tcW w:type="dxa" w:w="7440"/>
            <w:tcMar>
              <w:top w:type="dxa" w:w="70"/>
              <w:left w:type="dxa" w:w="110"/>
              <w:bottom w:type="dxa" w:w="70"/>
              <w:right w:type="dxa" w:w="110"/>
            </w:tcMar>
          </w:tcPr>
          <w:p>
            <w:pPr>
              <w:spacing w:after="0" w:line="250"/>
            </w:pPr>
            <w:r>
              <w:rPr>
                <w:b w:val="false"/>
                <w:bCs w:val="false"/>
                <w:sz w:val="18"/>
                <w:szCs w:val="18"/>
              </w:rPr>
              <w:t xml:space="preserve">As-built — dashboard deployed to Google Cloud Run</w:t>
            </w:r>
          </w:p>
        </w:tc>
      </w:tr>
      <w:tr>
        <w:tc>
          <w:tcPr>
            <w:tcW w:type="dxa" w:w="2400"/>
            <w:shd w:fill="F7F9FB" w:color="auto" w:val="clear"/>
            <w:tcMar>
              <w:top w:type="dxa" w:w="70"/>
              <w:left w:type="dxa" w:w="110"/>
              <w:bottom w:type="dxa" w:w="70"/>
              <w:right w:type="dxa" w:w="110"/>
            </w:tcMar>
          </w:tcPr>
          <w:p>
            <w:pPr>
              <w:spacing w:after="0" w:line="250"/>
            </w:pPr>
            <w:r>
              <w:rPr>
                <w:b/>
                <w:bCs/>
                <w:color w:val="1F4E79"/>
                <w:sz w:val="18"/>
                <w:szCs w:val="18"/>
              </w:rPr>
              <w:t xml:space="preserve">Date</w:t>
            </w:r>
          </w:p>
        </w:tc>
        <w:tc>
          <w:tcPr>
            <w:tcW w:type="dxa" w:w="7440"/>
            <w:shd w:fill="F7F9FB" w:color="auto" w:val="clear"/>
            <w:tcMar>
              <w:top w:type="dxa" w:w="70"/>
              <w:left w:type="dxa" w:w="110"/>
              <w:bottom w:type="dxa" w:w="70"/>
              <w:right w:type="dxa" w:w="110"/>
            </w:tcMar>
          </w:tcPr>
          <w:p>
            <w:pPr>
              <w:spacing w:after="0" w:line="250"/>
            </w:pPr>
            <w:r>
              <w:rPr>
                <w:b w:val="false"/>
                <w:bCs w:val="false"/>
                <w:sz w:val="18"/>
                <w:szCs w:val="18"/>
              </w:rPr>
              <w:t xml:space="preserve">2026-08-01</w:t>
            </w:r>
          </w:p>
        </w:tc>
      </w:tr>
      <w:tr>
        <w:tc>
          <w:tcPr>
            <w:tcW w:type="dxa" w:w="2400"/>
            <w:tcMar>
              <w:top w:type="dxa" w:w="70"/>
              <w:left w:type="dxa" w:w="110"/>
              <w:bottom w:type="dxa" w:w="70"/>
              <w:right w:type="dxa" w:w="110"/>
            </w:tcMar>
          </w:tcPr>
          <w:p>
            <w:pPr>
              <w:spacing w:after="0" w:line="250"/>
            </w:pPr>
            <w:r>
              <w:rPr>
                <w:b/>
                <w:bCs/>
                <w:color w:val="1F4E79"/>
                <w:sz w:val="18"/>
                <w:szCs w:val="18"/>
              </w:rPr>
              <w:t xml:space="preserve">Related</w:t>
            </w:r>
          </w:p>
        </w:tc>
        <w:tc>
          <w:tcPr>
            <w:tcW w:type="dxa" w:w="7440"/>
            <w:tcMar>
              <w:top w:type="dxa" w:w="70"/>
              <w:left w:type="dxa" w:w="110"/>
              <w:bottom w:type="dxa" w:w="70"/>
              <w:right w:type="dxa" w:w="110"/>
            </w:tcMar>
          </w:tcPr>
          <w:p>
            <w:pPr>
              <w:spacing w:after="0" w:line="250"/>
            </w:pPr>
            <w:r>
              <w:rPr>
                <w:b w:val="false"/>
                <w:bCs w:val="false"/>
                <w:sz w:val="18"/>
                <w:szCs w:val="18"/>
              </w:rPr>
              <w:t xml:space="preserve">model_cards/model_card.docx · data_cards/data_card.docx</w:t>
            </w:r>
          </w:p>
        </w:tc>
      </w:tr>
    </w:tbl>
    <w:p>
      <w:pPr>
        <w:spacing w:before="320"/>
      </w:pPr>
      <w:r>
        <w:t xml:space="preserve">A five-phase system that moves from churn prediction to causal validation to prospective experimentation. The predictive phase reaches 93.4% AUC-ROC with an H2O stacked ensemble; the causal phase catches and corrects a collider-bias error that had understated the effect of service add-ons by an order of magnitude; the experimental phase designs three randomized tests at 95% Bayesian power with sequential monitoring.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595959"/>
          <w:sz w:val="17"/>
          <w:szCs w:val="17"/>
        </w:rPr>
        <w:t xml:space="preserve">To populate this table in Word: select it, then press F9 (or right-click → Update Field).</w:t>
      </w:r>
    </w:p>
    <w:p>
      <w:r>
        <w:br w:type="page"/>
      </w:r>
    </w:p>
    <w:p>
      <w:pPr>
        <w:pStyle w:val="Heading1"/>
      </w:pPr>
      <w:r>
        <w:t xml:space="preserve">1. Problem Statement</w:t>
      </w:r>
    </w:p>
    <w:p>
      <w:r>
        <w:t xml:space="preserve">A churn model tells you who is likely to leave but not what to do about it. Acting on predictive feature importance as if it were causal is the standard failure mode and produces retention programs that spend money without moving the metric. This system separates the two questions explicitly, and in doing so surfaces a conditioning error that would have led to abandoning a lever that actually works.</w:t>
      </w:r>
    </w:p>
    <w:p>
      <w:pPr>
        <w:pStyle w:val="Heading2"/>
      </w:pPr>
      <w:r>
        <w:t xml:space="preserve">Goals</w:t>
      </w:r>
    </w:p>
    <w:p>
      <w:pPr>
        <w:pStyle w:val="ListParagraph"/>
        <w:numPr>
          <w:ilvl w:val="0"/>
          <w:numId w:val="2"/>
        </w:numPr>
        <w:spacing w:after="100"/>
      </w:pPr>
      <w:r>
        <w:t xml:space="preserve">Predict churn accurately enough to prioritize retention outreach.</w:t>
      </w:r>
    </w:p>
    <w:p>
      <w:pPr>
        <w:pStyle w:val="ListParagraph"/>
        <w:numPr>
          <w:ilvl w:val="0"/>
          <w:numId w:val="2"/>
        </w:numPr>
        <w:spacing w:after="100"/>
      </w:pPr>
      <w:r>
        <w:t xml:space="preserve">Estimate the causal effect of service add-ons under a defensible identification strategy.</w:t>
      </w:r>
    </w:p>
    <w:p>
      <w:pPr>
        <w:pStyle w:val="ListParagraph"/>
        <w:numPr>
          <w:ilvl w:val="0"/>
          <w:numId w:val="2"/>
        </w:numPr>
        <w:spacing w:after="100"/>
      </w:pPr>
      <w:r>
        <w:t xml:space="preserve">Design randomized experiments where observational data cannot identify the effect.</w:t>
      </w:r>
    </w:p>
    <w:p>
      <w:pPr>
        <w:pStyle w:val="ListParagraph"/>
        <w:numPr>
          <w:ilvl w:val="0"/>
          <w:numId w:val="2"/>
        </w:numPr>
        <w:spacing w:after="100"/>
      </w:pPr>
      <w:r>
        <w:t xml:space="preserve">Deploy a stakeholder-facing dashboard for the Bayesian results.</w:t>
      </w:r>
    </w:p>
    <w:p>
      <w:pPr>
        <w:pStyle w:val="Heading2"/>
      </w:pPr>
      <w:r>
        <w:t xml:space="preserve">Non-goals</w:t>
      </w:r>
    </w:p>
    <w:p>
      <w:pPr>
        <w:pStyle w:val="ListParagraph"/>
        <w:numPr>
          <w:ilvl w:val="0"/>
          <w:numId w:val="2"/>
        </w:numPr>
        <w:spacing w:after="100"/>
      </w:pPr>
      <w:r>
        <w:t xml:space="preserve">Automated retention offers driven by model score.</w:t>
      </w:r>
    </w:p>
    <w:p>
      <w:pPr>
        <w:pStyle w:val="ListParagraph"/>
        <w:numPr>
          <w:ilvl w:val="0"/>
          <w:numId w:val="2"/>
        </w:numPr>
        <w:spacing w:after="100"/>
      </w:pPr>
      <w:r>
        <w:t xml:space="preserve">Real-time scoring — the pipeline is batch.</w:t>
      </w:r>
    </w:p>
    <w:p>
      <w:pPr>
        <w:pStyle w:val="ListParagraph"/>
        <w:numPr>
          <w:ilvl w:val="0"/>
          <w:numId w:val="2"/>
        </w:numPr>
        <w:spacing w:after="100"/>
      </w:pPr>
      <w:r>
        <w:t xml:space="preserve">Transferring the estimates to a real telco; the data is fictionalized.</w:t>
      </w:r>
    </w:p>
    <w:p>
      <w:pPr>
        <w:pStyle w:val="Heading1"/>
      </w:pPr>
      <w:r>
        <w:t xml:space="preserve">2. Requirements &amp; Constraints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1500"/>
        <w:gridCol w:w="4200"/>
        <w:gridCol w:w="4140"/>
      </w:tblGrid>
      <w:tr>
        <w:trPr>
          <w:tblHeader/>
        </w:trPr>
        <w:tc>
          <w:tcPr>
            <w:tcW w:type="dxa" w:w="1500"/>
            <w:shd w:fill="EEF3F8" w:color="auto" w:val="clear"/>
            <w:tcMar>
              <w:top w:type="dxa" w:w="70"/>
              <w:left w:type="dxa" w:w="110"/>
              <w:bottom w:type="dxa" w:w="70"/>
              <w:right w:type="dxa" w:w="110"/>
            </w:tcMar>
          </w:tcPr>
          <w:p>
            <w:pPr>
              <w:spacing w:after="0" w:line="250"/>
            </w:pPr>
            <w:r>
              <w:rPr>
                <w:b/>
                <w:bCs/>
                <w:color w:val="1F4E79"/>
                <w:sz w:val="18"/>
                <w:szCs w:val="18"/>
              </w:rPr>
              <w:t xml:space="preserve">Type</w:t>
            </w:r>
          </w:p>
        </w:tc>
        <w:tc>
          <w:tcPr>
            <w:tcW w:type="dxa" w:w="4200"/>
            <w:shd w:fill="EEF3F8" w:color="auto" w:val="clear"/>
            <w:tcMar>
              <w:top w:type="dxa" w:w="70"/>
              <w:left w:type="dxa" w:w="110"/>
              <w:bottom w:type="dxa" w:w="70"/>
              <w:right w:type="dxa" w:w="110"/>
            </w:tcMar>
          </w:tcPr>
          <w:p>
            <w:pPr>
              <w:spacing w:after="0" w:line="250"/>
            </w:pPr>
            <w:r>
              <w:rPr>
                <w:b/>
                <w:bCs/>
                <w:color w:val="1F4E79"/>
                <w:sz w:val="18"/>
                <w:szCs w:val="18"/>
              </w:rPr>
              <w:t xml:space="preserve">Requirement</w:t>
            </w:r>
          </w:p>
        </w:tc>
        <w:tc>
          <w:tcPr>
            <w:tcW w:type="dxa" w:w="4140"/>
            <w:shd w:fill="EEF3F8" w:color="auto" w:val="clear"/>
            <w:tcMar>
              <w:top w:type="dxa" w:w="70"/>
              <w:left w:type="dxa" w:w="110"/>
              <w:bottom w:type="dxa" w:w="70"/>
              <w:right w:type="dxa" w:w="110"/>
            </w:tcMar>
          </w:tcPr>
          <w:p>
            <w:pPr>
              <w:spacing w:after="0" w:line="250"/>
            </w:pPr>
            <w:r>
              <w:rPr>
                <w:b/>
                <w:bCs/>
                <w:color w:val="1F4E79"/>
                <w:sz w:val="18"/>
                <w:szCs w:val="18"/>
              </w:rPr>
              <w:t xml:space="preserve">Current state</w:t>
            </w:r>
          </w:p>
        </w:tc>
      </w:tr>
      <w:tr>
        <w:tc>
          <w:tcPr>
            <w:tcW w:type="dxa" w:w="1500"/>
            <w:tcMar>
              <w:top w:type="dxa" w:w="70"/>
              <w:left w:type="dxa" w:w="110"/>
              <w:bottom w:type="dxa" w:w="70"/>
              <w:right w:type="dxa" w:w="110"/>
            </w:tcMar>
          </w:tcPr>
          <w:p>
            <w:pPr>
              <w:spacing w:after="0" w:line="250"/>
            </w:pPr>
            <w:r>
              <w:rPr>
                <w:b/>
                <w:bCs/>
                <w:sz w:val="18"/>
                <w:szCs w:val="18"/>
              </w:rPr>
              <w:t xml:space="preserve">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High-recall identification of likely churners</w:t>
            </w:r>
          </w:p>
        </w:tc>
        <w:tc>
          <w:tcPr>
            <w:tcW w:type="dxa" w:w="4140"/>
            <w:tcMar>
              <w:top w:type="dxa" w:w="70"/>
              <w:left w:type="dxa" w:w="110"/>
              <w:bottom w:type="dxa" w:w="70"/>
              <w:right w:type="dxa" w:w="110"/>
            </w:tcMar>
          </w:tcPr>
          <w:p>
            <w:pPr>
              <w:spacing w:after="0" w:line="250"/>
            </w:pPr>
            <w:r>
              <w:rPr>
                <w:b w:val="false"/>
                <w:bCs w:val="false"/>
                <w:sz w:val="18"/>
                <w:szCs w:val="18"/>
              </w:rPr>
              <w:t xml:space="preserve">Met — ~90.5% recall at ~78% precision</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Functional</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Causal estimates must satisfy the backdoor criterion</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Met — adjustment restricted to exogenous pre-treatment demographics only</w:t>
            </w:r>
          </w:p>
        </w:tc>
      </w:tr>
      <w:tr>
        <w:tc>
          <w:tcPr>
            <w:tcW w:type="dxa" w:w="1500"/>
            <w:tcMar>
              <w:top w:type="dxa" w:w="70"/>
              <w:left w:type="dxa" w:w="110"/>
              <w:bottom w:type="dxa" w:w="70"/>
              <w:right w:type="dxa" w:w="110"/>
            </w:tcMar>
          </w:tcPr>
          <w:p>
            <w:pPr>
              <w:spacing w:after="0" w:line="250"/>
            </w:pPr>
            <w:r>
              <w:rPr>
                <w:b/>
                <w:bCs/>
                <w:sz w:val="18"/>
                <w:szCs w:val="18"/>
              </w:rPr>
              <w:t xml:space="preserve">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Experiments powered before launch</w:t>
            </w:r>
          </w:p>
        </w:tc>
        <w:tc>
          <w:tcPr>
            <w:tcW w:type="dxa" w:w="4140"/>
            <w:tcMar>
              <w:top w:type="dxa" w:w="70"/>
              <w:left w:type="dxa" w:w="110"/>
              <w:bottom w:type="dxa" w:w="70"/>
              <w:right w:type="dxa" w:w="110"/>
            </w:tcMar>
          </w:tcPr>
          <w:p>
            <w:pPr>
              <w:spacing w:after="0" w:line="250"/>
            </w:pPr>
            <w:r>
              <w:rPr>
                <w:b w:val="false"/>
                <w:bCs w:val="false"/>
                <w:sz w:val="18"/>
                <w:szCs w:val="18"/>
              </w:rPr>
              <w:t xml:space="preserve">Met — 95% Bayesian power, stratified randomization, ROPE-based stopping rules</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Functional</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Sequential monitoring without inflating error rates</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Met — hierarchical Bayesian A/B engine with ROPE stopping</w:t>
            </w:r>
          </w:p>
        </w:tc>
      </w:tr>
      <w:tr>
        <w:tc>
          <w:tcPr>
            <w:tcW w:type="dxa" w:w="1500"/>
            <w:tcMar>
              <w:top w:type="dxa" w:w="70"/>
              <w:left w:type="dxa" w:w="110"/>
              <w:bottom w:type="dxa" w:w="70"/>
              <w:right w:type="dxa" w:w="110"/>
            </w:tcMar>
          </w:tcPr>
          <w:p>
            <w:pPr>
              <w:spacing w:after="0" w:line="250"/>
            </w:pPr>
            <w:r>
              <w:rPr>
                <w:b/>
                <w:bCs/>
                <w:sz w:val="18"/>
                <w:szCs w:val="18"/>
              </w:rPr>
              <w:t xml:space="preserve">Non-functional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Results explorable by non-technical stakeholders</w:t>
            </w:r>
          </w:p>
        </w:tc>
        <w:tc>
          <w:tcPr>
            <w:tcW w:type="dxa" w:w="4140"/>
            <w:tcMar>
              <w:top w:type="dxa" w:w="70"/>
              <w:left w:type="dxa" w:w="110"/>
              <w:bottom w:type="dxa" w:w="70"/>
              <w:right w:type="dxa" w:w="110"/>
            </w:tcMar>
          </w:tcPr>
          <w:p>
            <w:pPr>
              <w:spacing w:after="0" w:line="250"/>
            </w:pPr>
            <w:r>
              <w:rPr>
                <w:b w:val="false"/>
                <w:bCs w:val="false"/>
                <w:sz w:val="18"/>
                <w:szCs w:val="18"/>
              </w:rPr>
              <w:t xml:space="preserve">Met — Streamlit dashboard on Cloud Run</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Constraint</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Snapshot data with no event log — churn timing unrecoverable</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Accepted; this is precisely why tenure behaves as a collider</w:t>
            </w:r>
          </w:p>
        </w:tc>
      </w:tr>
    </w:tbl>
    <w:p>
      <w:pPr>
        <w:pStyle w:val="Heading1"/>
      </w:pPr>
      <w:r>
        <w:t xml:space="preserve">3. Data</w:t>
      </w:r>
    </w:p>
    <w:p>
      <w:pPr>
        <w:pStyle w:val="Heading2"/>
      </w:pPr>
      <w:r>
        <w:t xml:space="preserve">Sources</w:t>
      </w:r>
    </w:p>
    <w:p>
      <w:r>
        <w:t xml:space="preserve">Kaggle / IBM Telco Customer Churn — 7,043 customers × 21 features, 26.54% churn rate</w:t>
      </w:r>
    </w:p>
    <w:p>
      <w:pPr>
        <w:pStyle w:val="Heading2"/>
      </w:pPr>
      <w:r>
        <w:t xml:space="preserve">Pipeline</w:t>
      </w:r>
    </w:p>
    <w:p>
      <w:r>
        <w:t xml:space="preserve">PySpark EDA in Phase 1; SMOTE for class balance before H2O AutoML; causal phases read the raw table directly with restricted adjustment sets.</w:t>
      </w:r>
    </w:p>
    <w:p>
      <w:pPr>
        <w:pStyle w:val="Heading2"/>
      </w:pPr>
      <w:r>
        <w:t xml:space="preserve">Notes &amp; caveats</w:t>
      </w:r>
    </w:p>
    <w:p>
      <w:r>
        <w:t xml:space="preserve">TotalCharges is stored as TEXT because 11 rows hold a blank string — all 11 are tenure-0 customers, exactly the population the early-tenure hypothesis concerns. Service columns encode 'No internet service' as a third level (21.67% of rows), which creates collinear indicators if one-hot encoded without collapsing.</w:t>
      </w:r>
    </w:p>
    <w:p>
      <w:pPr>
        <w:spacing w:before="100"/>
      </w:pPr>
      <w:r>
        <w:rPr>
          <w:i/>
          <w:iCs/>
          <w:color w:val="595959"/>
          <w:sz w:val="18"/>
          <w:szCs w:val="18"/>
        </w:rPr>
        <w:t xml:space="preserve">Full schema, null rates, and quality issues: data_cards/data_card.docx.</w:t>
      </w:r>
    </w:p>
    <w:p>
      <w:pPr>
        <w:pStyle w:val="Heading1"/>
      </w:pPr>
      <w:r>
        <w:t xml:space="preserve">4. Modeling Approach</w:t>
      </w:r>
    </w:p>
    <w:p>
      <w:pPr>
        <w:pStyle w:val="Heading2"/>
      </w:pPr>
      <w:r>
        <w:t xml:space="preserve">Candidates considered</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3000"/>
        <w:gridCol w:w="3900"/>
        <w:gridCol w:w="2940"/>
      </w:tblGrid>
      <w:tr>
        <w:trPr>
          <w:tblHeader/>
        </w:trPr>
        <w:tc>
          <w:tcPr>
            <w:tcW w:type="dxa" w:w="3000"/>
            <w:shd w:fill="EEF3F8" w:color="auto" w:val="clear"/>
            <w:tcMar>
              <w:top w:type="dxa" w:w="70"/>
              <w:left w:type="dxa" w:w="110"/>
              <w:bottom w:type="dxa" w:w="70"/>
              <w:right w:type="dxa" w:w="110"/>
            </w:tcMar>
          </w:tcPr>
          <w:p>
            <w:pPr>
              <w:spacing w:after="0" w:line="250"/>
            </w:pPr>
            <w:r>
              <w:rPr>
                <w:b/>
                <w:bCs/>
                <w:color w:val="1F4E79"/>
                <w:sz w:val="18"/>
                <w:szCs w:val="18"/>
              </w:rPr>
              <w:t xml:space="preserve">Approach</w:t>
            </w:r>
          </w:p>
        </w:tc>
        <w:tc>
          <w:tcPr>
            <w:tcW w:type="dxa" w:w="3900"/>
            <w:shd w:fill="EEF3F8" w:color="auto" w:val="clear"/>
            <w:tcMar>
              <w:top w:type="dxa" w:w="70"/>
              <w:left w:type="dxa" w:w="110"/>
              <w:bottom w:type="dxa" w:w="70"/>
              <w:right w:type="dxa" w:w="110"/>
            </w:tcMar>
          </w:tcPr>
          <w:p>
            <w:pPr>
              <w:spacing w:after="0" w:line="250"/>
            </w:pPr>
            <w:r>
              <w:rPr>
                <w:b/>
                <w:bCs/>
                <w:color w:val="1F4E79"/>
                <w:sz w:val="18"/>
                <w:szCs w:val="18"/>
              </w:rPr>
              <w:t xml:space="preserve">Outcome</w:t>
            </w:r>
          </w:p>
        </w:tc>
        <w:tc>
          <w:tcPr>
            <w:tcW w:type="dxa" w:w="2940"/>
            <w:shd w:fill="EEF3F8" w:color="auto" w:val="clear"/>
            <w:tcMar>
              <w:top w:type="dxa" w:w="70"/>
              <w:left w:type="dxa" w:w="110"/>
              <w:bottom w:type="dxa" w:w="70"/>
              <w:right w:type="dxa" w:w="110"/>
            </w:tcMar>
          </w:tcPr>
          <w:p>
            <w:pPr>
              <w:spacing w:after="0" w:line="250"/>
            </w:pPr>
            <w:r>
              <w:rPr>
                <w:b/>
                <w:bCs/>
                <w:color w:val="1F4E79"/>
                <w:sz w:val="18"/>
                <w:szCs w:val="18"/>
              </w:rPr>
              <w:t xml:space="preserve">Decision</w:t>
            </w:r>
          </w:p>
        </w:tc>
      </w:tr>
      <w:tr>
        <w:tc>
          <w:tcPr>
            <w:tcW w:type="dxa" w:w="3000"/>
            <w:tcMar>
              <w:top w:type="dxa" w:w="70"/>
              <w:left w:type="dxa" w:w="110"/>
              <w:bottom w:type="dxa" w:w="70"/>
              <w:right w:type="dxa" w:w="110"/>
            </w:tcMar>
          </w:tcPr>
          <w:p>
            <w:pPr>
              <w:spacing w:after="0" w:line="250"/>
            </w:pPr>
            <w:r>
              <w:rPr>
                <w:b/>
                <w:bCs/>
                <w:sz w:val="18"/>
                <w:szCs w:val="18"/>
              </w:rPr>
              <w:t xml:space="preserve">PySpark Decision Tree</w:t>
            </w:r>
          </w:p>
        </w:tc>
        <w:tc>
          <w:tcPr>
            <w:tcW w:type="dxa" w:w="3900"/>
            <w:tcMar>
              <w:top w:type="dxa" w:w="70"/>
              <w:left w:type="dxa" w:w="110"/>
              <w:bottom w:type="dxa" w:w="70"/>
              <w:right w:type="dxa" w:w="110"/>
            </w:tcMar>
          </w:tcPr>
          <w:p>
            <w:pPr>
              <w:spacing w:after="0" w:line="250"/>
            </w:pPr>
            <w:r>
              <w:rPr>
                <w:b w:val="false"/>
                <w:bCs w:val="false"/>
                <w:sz w:val="18"/>
                <w:szCs w:val="18"/>
              </w:rPr>
              <w:t xml:space="preserve">AUC-ROC 72.0% · AUC-PR 52.6%</w:t>
            </w:r>
          </w:p>
        </w:tc>
        <w:tc>
          <w:tcPr>
            <w:tcW w:type="dxa" w:w="2940"/>
            <w:tcMar>
              <w:top w:type="dxa" w:w="70"/>
              <w:left w:type="dxa" w:w="110"/>
              <w:bottom w:type="dxa" w:w="70"/>
              <w:right w:type="dxa" w:w="110"/>
            </w:tcMar>
          </w:tcPr>
          <w:p>
            <w:pPr>
              <w:spacing w:after="0" w:line="250"/>
            </w:pPr>
            <w:r>
              <w:rPr>
                <w:b w:val="false"/>
                <w:bCs w:val="false"/>
                <w:sz w:val="18"/>
                <w:szCs w:val="18"/>
              </w:rPr>
              <w:t xml:space="preserve">Kept as the interpretable baseline</w:t>
            </w:r>
          </w:p>
        </w:tc>
      </w:tr>
      <w:tr>
        <w:tc>
          <w:tcPr>
            <w:tcW w:type="dxa" w:w="3000"/>
            <w:shd w:fill="F7F9FB" w:color="auto" w:val="clear"/>
            <w:tcMar>
              <w:top w:type="dxa" w:w="70"/>
              <w:left w:type="dxa" w:w="110"/>
              <w:bottom w:type="dxa" w:w="70"/>
              <w:right w:type="dxa" w:w="110"/>
            </w:tcMar>
          </w:tcPr>
          <w:p>
            <w:pPr>
              <w:spacing w:after="0" w:line="250"/>
            </w:pPr>
            <w:r>
              <w:rPr>
                <w:b/>
                <w:bCs/>
                <w:sz w:val="18"/>
                <w:szCs w:val="18"/>
              </w:rPr>
              <w:t xml:space="preserve">H2O AutoML Stacked Ensemble (GBM + XGBoost + GLM)</w:t>
            </w:r>
          </w:p>
        </w:tc>
        <w:tc>
          <w:tcPr>
            <w:tcW w:type="dxa" w:w="3900"/>
            <w:shd w:fill="F7F9FB" w:color="auto" w:val="clear"/>
            <w:tcMar>
              <w:top w:type="dxa" w:w="70"/>
              <w:left w:type="dxa" w:w="110"/>
              <w:bottom w:type="dxa" w:w="70"/>
              <w:right w:type="dxa" w:w="110"/>
            </w:tcMar>
          </w:tcPr>
          <w:p>
            <w:pPr>
              <w:spacing w:after="0" w:line="250"/>
            </w:pPr>
            <w:r>
              <w:rPr>
                <w:b w:val="false"/>
                <w:bCs w:val="false"/>
                <w:sz w:val="18"/>
                <w:szCs w:val="18"/>
              </w:rPr>
              <w:t xml:space="preserve">AUC-ROC 93.4% · AUC-PR 96.72% · recall ~90.5%</w:t>
            </w:r>
          </w:p>
        </w:tc>
        <w:tc>
          <w:tcPr>
            <w:tcW w:type="dxa" w:w="2940"/>
            <w:shd w:fill="F7F9FB" w:color="auto" w:val="clear"/>
            <w:tcMar>
              <w:top w:type="dxa" w:w="70"/>
              <w:left w:type="dxa" w:w="110"/>
              <w:bottom w:type="dxa" w:w="70"/>
              <w:right w:type="dxa" w:w="110"/>
            </w:tcMar>
          </w:tcPr>
          <w:p>
            <w:pPr>
              <w:spacing w:after="0" w:line="250"/>
            </w:pPr>
            <w:r>
              <w:rPr>
                <w:b w:val="false"/>
                <w:bCs w:val="false"/>
                <w:sz w:val="18"/>
                <w:szCs w:val="18"/>
              </w:rPr>
              <w:t xml:space="preserve">Selected for the predictive phase</w:t>
            </w:r>
          </w:p>
        </w:tc>
      </w:tr>
      <w:tr>
        <w:tc>
          <w:tcPr>
            <w:tcW w:type="dxa" w:w="3000"/>
            <w:tcMar>
              <w:top w:type="dxa" w:w="70"/>
              <w:left w:type="dxa" w:w="110"/>
              <w:bottom w:type="dxa" w:w="70"/>
              <w:right w:type="dxa" w:w="110"/>
            </w:tcMar>
          </w:tcPr>
          <w:p>
            <w:pPr>
              <w:spacing w:after="0" w:line="250"/>
            </w:pPr>
            <w:r>
              <w:rPr>
                <w:b/>
                <w:bCs/>
                <w:sz w:val="18"/>
                <w:szCs w:val="18"/>
              </w:rPr>
              <w:t xml:space="preserve">Bayesian model conditioning on tenure, contract, payment method</w:t>
            </w:r>
          </w:p>
        </w:tc>
        <w:tc>
          <w:tcPr>
            <w:tcW w:type="dxa" w:w="3900"/>
            <w:tcMar>
              <w:top w:type="dxa" w:w="70"/>
              <w:left w:type="dxa" w:w="110"/>
              <w:bottom w:type="dxa" w:w="70"/>
              <w:right w:type="dxa" w:w="110"/>
            </w:tcMar>
          </w:tcPr>
          <w:p>
            <w:pPr>
              <w:spacing w:after="0" w:line="250"/>
            </w:pPr>
            <w:r>
              <w:rPr>
                <w:b w:val="false"/>
                <w:bCs w:val="false"/>
                <w:sz w:val="18"/>
                <w:szCs w:val="18"/>
              </w:rPr>
              <w:t xml:space="preserve">Add-on effect −0.2pp — near zero</w:t>
            </w:r>
          </w:p>
        </w:tc>
        <w:tc>
          <w:tcPr>
            <w:tcW w:type="dxa" w:w="2940"/>
            <w:tcMar>
              <w:top w:type="dxa" w:w="70"/>
              <w:left w:type="dxa" w:w="110"/>
              <w:bottom w:type="dxa" w:w="70"/>
              <w:right w:type="dxa" w:w="110"/>
            </w:tcMar>
          </w:tcPr>
          <w:p>
            <w:pPr>
              <w:spacing w:after="0" w:line="250"/>
            </w:pPr>
            <w:r>
              <w:rPr>
                <w:b w:val="false"/>
                <w:bCs w:val="false"/>
                <w:sz w:val="18"/>
                <w:szCs w:val="18"/>
              </w:rPr>
              <w:t xml:space="preserve">Rejected — tenure is a collider, contract and payment are co-treatments</w:t>
            </w:r>
          </w:p>
        </w:tc>
      </w:tr>
      <w:tr>
        <w:tc>
          <w:tcPr>
            <w:tcW w:type="dxa" w:w="3000"/>
            <w:shd w:fill="F7F9FB" w:color="auto" w:val="clear"/>
            <w:tcMar>
              <w:top w:type="dxa" w:w="70"/>
              <w:left w:type="dxa" w:w="110"/>
              <w:bottom w:type="dxa" w:w="70"/>
              <w:right w:type="dxa" w:w="110"/>
            </w:tcMar>
          </w:tcPr>
          <w:p>
            <w:pPr>
              <w:spacing w:after="0" w:line="250"/>
            </w:pPr>
            <w:r>
              <w:rPr>
                <w:b/>
                <w:bCs/>
                <w:sz w:val="18"/>
                <w:szCs w:val="18"/>
              </w:rPr>
              <w:t xml:space="preserve">Bayesian model on exogenous pre-treatment demographics only</w:t>
            </w:r>
          </w:p>
        </w:tc>
        <w:tc>
          <w:tcPr>
            <w:tcW w:type="dxa" w:w="3900"/>
            <w:shd w:fill="F7F9FB" w:color="auto" w:val="clear"/>
            <w:tcMar>
              <w:top w:type="dxa" w:w="70"/>
              <w:left w:type="dxa" w:w="110"/>
              <w:bottom w:type="dxa" w:w="70"/>
              <w:right w:type="dxa" w:w="110"/>
            </w:tcMar>
          </w:tcPr>
          <w:p>
            <w:pPr>
              <w:spacing w:after="0" w:line="250"/>
            </w:pPr>
            <w:r>
              <w:rPr>
                <w:b w:val="false"/>
                <w:bCs w:val="false"/>
                <w:sz w:val="18"/>
                <w:szCs w:val="18"/>
              </w:rPr>
              <w:t xml:space="preserve">Add-on effect −5.8pp, 95% CI [−8.2%, −3.4%], P(≥5% reduction) = 87%</w:t>
            </w:r>
          </w:p>
        </w:tc>
        <w:tc>
          <w:tcPr>
            <w:tcW w:type="dxa" w:w="2940"/>
            <w:shd w:fill="F7F9FB" w:color="auto" w:val="clear"/>
            <w:tcMar>
              <w:top w:type="dxa" w:w="70"/>
              <w:left w:type="dxa" w:w="110"/>
              <w:bottom w:type="dxa" w:w="70"/>
              <w:right w:type="dxa" w:w="110"/>
            </w:tcMar>
          </w:tcPr>
          <w:p>
            <w:pPr>
              <w:spacing w:after="0" w:line="250"/>
            </w:pPr>
            <w:r>
              <w:rPr>
                <w:b w:val="false"/>
                <w:bCs w:val="false"/>
                <w:sz w:val="18"/>
                <w:szCs w:val="18"/>
              </w:rPr>
              <w:t xml:space="preserve">Selected for the causal phase</w:t>
            </w:r>
          </w:p>
        </w:tc>
      </w:tr>
    </w:tbl>
    <w:p>
      <w:pPr>
        <w:pStyle w:val="Heading2"/>
      </w:pPr>
      <w:r>
        <w:t xml:space="preserve">Selected</w:t>
      </w:r>
    </w:p>
    <w:p>
      <w:r>
        <w:rPr>
          <w:b/>
          <w:bCs/>
        </w:rPr>
        <w:t xml:space="preserve">H2O stacked ensemble for prediction; a demographics-only Bayesian specification for causal estimation; three prospective randomized experiments for everything the observational data cannot identify.</w:t>
      </w:r>
    </w:p>
    <w:p>
      <w:pPr>
        <w:pStyle w:val="Heading2"/>
      </w:pPr>
      <w:r>
        <w:t xml:space="preserve">Rationale</w:t>
      </w:r>
    </w:p>
    <w:p>
      <w:r>
        <w:t xml:space="preserve">The correction is the centerpiece. Conditioning on tenure seems natural — it is the strongest correlate of churn — but tenure is caused by both add-on adoption and churn, so conditioning on it opens a non-causal path. This was confirmed empirically via stratification reversal. Moving to an exogenous-demographics-only adjustment set shifts the estimated add-on effect from −0.2pp to −5.8pp: the naive specification would have led to killing a lever that works. Where even the corrected model cannot identify an effect — notably the +52pp early-tenure signal — the answer is an experiment, not a better regression.</w:t>
      </w:r>
    </w:p>
    <w:p>
      <w:pPr>
        <w:pStyle w:val="Heading1"/>
      </w:pPr>
      <w:r>
        <w:t xml:space="preserve">5. Evaluation</w:t>
      </w:r>
    </w:p>
    <w:p>
      <w:pPr>
        <w:pStyle w:val="Heading2"/>
      </w:pPr>
      <w:r>
        <w:t xml:space="preserve">Strategy</w:t>
      </w:r>
    </w:p>
    <w:p>
      <w:r>
        <w:t xml:space="preserve">Train/test split with SMOTE applied to training only for the predictive phase. Causal phases do not split — they estimate on the full table under a declared identification strategy, then hand off to prospective randomized tests. Phase 4 monitors those tests sequentially with ROPE-based stopping.</w:t>
      </w:r>
    </w:p>
    <w:p>
      <w:pPr>
        <w:pStyle w:val="Heading2"/>
      </w:pPr>
      <w:r>
        <w:t xml:space="preserve">Baseline</w:t>
      </w:r>
    </w:p>
    <w:p>
      <w:r>
        <w:t xml:space="preserve">PySpark Decision Tree (72.0% AUC) for prediction; the collider-biased specification (−0.2pp) as the cautionary causal baseline.</w:t>
      </w:r>
    </w:p>
    <w:p>
      <w:pPr>
        <w:pStyle w:val="Heading2"/>
      </w:pPr>
      <w:r>
        <w:t xml:space="preserve">Results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5100"/>
        <w:gridCol w:w="4740"/>
      </w:tblGrid>
      <w:tr>
        <w:trPr>
          <w:tblHeader/>
        </w:trPr>
        <w:tc>
          <w:tcPr>
            <w:tcW w:type="dxa" w:w="5100"/>
            <w:shd w:fill="EEF3F8" w:color="auto" w:val="clear"/>
            <w:tcMar>
              <w:top w:type="dxa" w:w="70"/>
              <w:left w:type="dxa" w:w="110"/>
              <w:bottom w:type="dxa" w:w="70"/>
              <w:right w:type="dxa" w:w="110"/>
            </w:tcMar>
          </w:tcPr>
          <w:p>
            <w:pPr>
              <w:spacing w:after="0" w:line="250"/>
            </w:pPr>
            <w:r>
              <w:rPr>
                <w:b/>
                <w:bCs/>
                <w:color w:val="1F4E79"/>
                <w:sz w:val="18"/>
                <w:szCs w:val="18"/>
              </w:rPr>
              <w:t xml:space="preserve">Metric</w:t>
            </w:r>
          </w:p>
        </w:tc>
        <w:tc>
          <w:tcPr>
            <w:tcW w:type="dxa" w:w="4740"/>
            <w:shd w:fill="EEF3F8" w:color="auto" w:val="clear"/>
            <w:tcMar>
              <w:top w:type="dxa" w:w="70"/>
              <w:left w:type="dxa" w:w="110"/>
              <w:bottom w:type="dxa" w:w="70"/>
              <w:right w:type="dxa" w:w="110"/>
            </w:tcMar>
          </w:tcPr>
          <w:p>
            <w:pPr>
              <w:spacing w:after="0" w:line="250"/>
            </w:pPr>
            <w:r>
              <w:rPr>
                <w:b/>
                <w:bCs/>
                <w:color w:val="1F4E79"/>
                <w:sz w:val="18"/>
                <w:szCs w:val="18"/>
              </w:rPr>
              <w:t xml:space="preserve">Value</w:t>
            </w:r>
          </w:p>
        </w:tc>
      </w:tr>
      <w:tr>
        <w:tc>
          <w:tcPr>
            <w:tcW w:type="dxa" w:w="5100"/>
            <w:tcMar>
              <w:top w:type="dxa" w:w="70"/>
              <w:left w:type="dxa" w:w="110"/>
              <w:bottom w:type="dxa" w:w="70"/>
              <w:right w:type="dxa" w:w="110"/>
            </w:tcMar>
          </w:tcPr>
          <w:p>
            <w:pPr>
              <w:spacing w:after="0" w:line="250"/>
            </w:pPr>
            <w:r>
              <w:rPr>
                <w:b w:val="false"/>
                <w:bCs w:val="false"/>
                <w:sz w:val="18"/>
                <w:szCs w:val="18"/>
              </w:rPr>
              <w:t xml:space="preserve">AUC-ROC — H2O Stacked Ensemble</w:t>
            </w:r>
          </w:p>
        </w:tc>
        <w:tc>
          <w:tcPr>
            <w:tcW w:type="dxa" w:w="4740"/>
            <w:tcMar>
              <w:top w:type="dxa" w:w="70"/>
              <w:left w:type="dxa" w:w="110"/>
              <w:bottom w:type="dxa" w:w="70"/>
              <w:right w:type="dxa" w:w="110"/>
            </w:tcMar>
          </w:tcPr>
          <w:p>
            <w:pPr>
              <w:spacing w:after="0" w:line="250"/>
            </w:pPr>
            <w:r>
              <w:rPr>
                <w:b/>
                <w:bCs/>
                <w:sz w:val="18"/>
                <w:szCs w:val="18"/>
              </w:rPr>
              <w:t xml:space="preserve">93.4%</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AUC-PR — H2O Stacked Ensemble</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96.72%</w:t>
            </w:r>
          </w:p>
        </w:tc>
      </w:tr>
      <w:tr>
        <w:tc>
          <w:tcPr>
            <w:tcW w:type="dxa" w:w="5100"/>
            <w:tcMar>
              <w:top w:type="dxa" w:w="70"/>
              <w:left w:type="dxa" w:w="110"/>
              <w:bottom w:type="dxa" w:w="70"/>
              <w:right w:type="dxa" w:w="110"/>
            </w:tcMar>
          </w:tcPr>
          <w:p>
            <w:pPr>
              <w:spacing w:after="0" w:line="250"/>
            </w:pPr>
            <w:r>
              <w:rPr>
                <w:b w:val="false"/>
                <w:bCs w:val="false"/>
                <w:sz w:val="18"/>
                <w:szCs w:val="18"/>
              </w:rPr>
              <w:t xml:space="preserve">Recall on churners / Precision</w:t>
            </w:r>
          </w:p>
        </w:tc>
        <w:tc>
          <w:tcPr>
            <w:tcW w:type="dxa" w:w="4740"/>
            <w:tcMar>
              <w:top w:type="dxa" w:w="70"/>
              <w:left w:type="dxa" w:w="110"/>
              <w:bottom w:type="dxa" w:w="70"/>
              <w:right w:type="dxa" w:w="110"/>
            </w:tcMar>
          </w:tcPr>
          <w:p>
            <w:pPr>
              <w:spacing w:after="0" w:line="250"/>
            </w:pPr>
            <w:r>
              <w:rPr>
                <w:b/>
                <w:bCs/>
                <w:sz w:val="18"/>
                <w:szCs w:val="18"/>
              </w:rPr>
              <w:t xml:space="preserve">~90.5% / ~78%</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AUC-ROC — PySpark Decision Tree</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72.0%</w:t>
            </w:r>
          </w:p>
        </w:tc>
      </w:tr>
      <w:tr>
        <w:tc>
          <w:tcPr>
            <w:tcW w:type="dxa" w:w="5100"/>
            <w:tcMar>
              <w:top w:type="dxa" w:w="70"/>
              <w:left w:type="dxa" w:w="110"/>
              <w:bottom w:type="dxa" w:w="70"/>
              <w:right w:type="dxa" w:w="110"/>
            </w:tcMar>
          </w:tcPr>
          <w:p>
            <w:pPr>
              <w:spacing w:after="0" w:line="250"/>
            </w:pPr>
            <w:r>
              <w:rPr>
                <w:b w:val="false"/>
                <w:bCs w:val="false"/>
                <w:sz w:val="18"/>
                <w:szCs w:val="18"/>
              </w:rPr>
              <w:t xml:space="preserve">Baseline churn rate</w:t>
            </w:r>
          </w:p>
        </w:tc>
        <w:tc>
          <w:tcPr>
            <w:tcW w:type="dxa" w:w="4740"/>
            <w:tcMar>
              <w:top w:type="dxa" w:w="70"/>
              <w:left w:type="dxa" w:w="110"/>
              <w:bottom w:type="dxa" w:w="70"/>
              <w:right w:type="dxa" w:w="110"/>
            </w:tcMar>
          </w:tcPr>
          <w:p>
            <w:pPr>
              <w:spacing w:after="0" w:line="250"/>
            </w:pPr>
            <w:r>
              <w:rPr>
                <w:b/>
                <w:bCs/>
                <w:sz w:val="18"/>
                <w:szCs w:val="18"/>
              </w:rPr>
              <w:t xml:space="preserve">26.54%</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Causal effect of add-on bundle (corrected)</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−5.8pp, 95% CI [−8.2%, −3.4%]</w:t>
            </w:r>
          </w:p>
        </w:tc>
      </w:tr>
      <w:tr>
        <w:tc>
          <w:tcPr>
            <w:tcW w:type="dxa" w:w="5100"/>
            <w:tcMar>
              <w:top w:type="dxa" w:w="70"/>
              <w:left w:type="dxa" w:w="110"/>
              <w:bottom w:type="dxa" w:w="70"/>
              <w:right w:type="dxa" w:w="110"/>
            </w:tcMar>
          </w:tcPr>
          <w:p>
            <w:pPr>
              <w:spacing w:after="0" w:line="250"/>
            </w:pPr>
            <w:r>
              <w:rPr>
                <w:b w:val="false"/>
                <w:bCs w:val="false"/>
                <w:sz w:val="18"/>
                <w:szCs w:val="18"/>
              </w:rPr>
              <w:t xml:space="preserve">P(add-ons reduce churn by ≥5%)</w:t>
            </w:r>
          </w:p>
        </w:tc>
        <w:tc>
          <w:tcPr>
            <w:tcW w:type="dxa" w:w="4740"/>
            <w:tcMar>
              <w:top w:type="dxa" w:w="70"/>
              <w:left w:type="dxa" w:w="110"/>
              <w:bottom w:type="dxa" w:w="70"/>
              <w:right w:type="dxa" w:w="110"/>
            </w:tcMar>
          </w:tcPr>
          <w:p>
            <w:pPr>
              <w:spacing w:after="0" w:line="250"/>
            </w:pPr>
            <w:r>
              <w:rPr>
                <w:b/>
                <w:bCs/>
                <w:sz w:val="18"/>
                <w:szCs w:val="18"/>
              </w:rPr>
              <w:t xml:space="preserve">87%</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Naive collider-biased estimate</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−0.2pp</w:t>
            </w:r>
          </w:p>
        </w:tc>
      </w:tr>
      <w:tr>
        <w:tc>
          <w:tcPr>
            <w:tcW w:type="dxa" w:w="5100"/>
            <w:tcMar>
              <w:top w:type="dxa" w:w="70"/>
              <w:left w:type="dxa" w:w="110"/>
              <w:bottom w:type="dxa" w:w="70"/>
              <w:right w:type="dxa" w:w="110"/>
            </w:tcMar>
          </w:tcPr>
          <w:p>
            <w:pPr>
              <w:spacing w:after="0" w:line="250"/>
            </w:pPr>
            <w:r>
              <w:rPr>
                <w:b w:val="false"/>
                <w:bCs w:val="false"/>
                <w:sz w:val="18"/>
                <w:szCs w:val="18"/>
              </w:rPr>
              <w:t xml:space="preserve">Early tenure ≤40 days (correlational)</w:t>
            </w:r>
          </w:p>
        </w:tc>
        <w:tc>
          <w:tcPr>
            <w:tcW w:type="dxa" w:w="4740"/>
            <w:tcMar>
              <w:top w:type="dxa" w:w="70"/>
              <w:left w:type="dxa" w:w="110"/>
              <w:bottom w:type="dxa" w:w="70"/>
              <w:right w:type="dxa" w:w="110"/>
            </w:tcMar>
          </w:tcPr>
          <w:p>
            <w:pPr>
              <w:spacing w:after="0" w:line="250"/>
            </w:pPr>
            <w:r>
              <w:rPr>
                <w:b/>
                <w:bCs/>
                <w:sz w:val="18"/>
                <w:szCs w:val="18"/>
              </w:rPr>
              <w:t xml:space="preserve">+52pp — requires experiment</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Experiment design</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3 tests at 95% Bayesian power; Week 6 winner at 99% confidence</w:t>
            </w:r>
          </w:p>
        </w:tc>
      </w:tr>
      <w:tr>
        <w:tc>
          <w:tcPr>
            <w:tcW w:type="dxa" w:w="5100"/>
            <w:tcMar>
              <w:top w:type="dxa" w:w="70"/>
              <w:left w:type="dxa" w:w="110"/>
              <w:bottom w:type="dxa" w:w="70"/>
              <w:right w:type="dxa" w:w="110"/>
            </w:tcMar>
          </w:tcPr>
          <w:p>
            <w:pPr>
              <w:spacing w:after="0" w:line="250"/>
            </w:pPr>
            <w:r>
              <w:rPr>
                <w:b w:val="false"/>
                <w:bCs w:val="false"/>
                <w:sz w:val="18"/>
                <w:szCs w:val="18"/>
              </w:rPr>
              <w:t xml:space="preserve">Revenue at risk</w:t>
            </w:r>
          </w:p>
        </w:tc>
        <w:tc>
          <w:tcPr>
            <w:tcW w:type="dxa" w:w="4740"/>
            <w:tcMar>
              <w:top w:type="dxa" w:w="70"/>
              <w:left w:type="dxa" w:w="110"/>
              <w:bottom w:type="dxa" w:w="70"/>
              <w:right w:type="dxa" w:w="110"/>
            </w:tcMar>
          </w:tcPr>
          <w:p>
            <w:pPr>
              <w:spacing w:after="0" w:line="250"/>
            </w:pPr>
            <w:r>
              <w:rPr>
                <w:b/>
                <w:bCs/>
                <w:sz w:val="18"/>
                <w:szCs w:val="18"/>
              </w:rPr>
              <w:t xml:space="preserve">$1.53M LTV</w:t>
            </w:r>
          </w:p>
        </w:tc>
      </w:tr>
    </w:tbl>
    <w:p>
      <w:pPr>
        <w:pStyle w:val="Heading1"/>
      </w:pPr>
      <w:r>
        <w:t xml:space="preserve">6. As-Built Architecture</w:t>
      </w:r>
    </w:p>
    <w:p>
      <w:pPr>
        <w:pStyle w:val="Heading2"/>
      </w:pPr>
      <w:r>
        <w:t xml:space="preserve">Components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2700"/>
        <w:gridCol w:w="4740"/>
      </w:tblGrid>
      <w:tr>
        <w:trPr>
          <w:tblHeader/>
        </w:trPr>
        <w:tc>
          <w:tcPr>
            <w:tcW w:type="dxa" w:w="2400"/>
            <w:shd w:fill="EEF3F8" w:color="auto" w:val="clear"/>
            <w:tcMar>
              <w:top w:type="dxa" w:w="70"/>
              <w:left w:type="dxa" w:w="110"/>
              <w:bottom w:type="dxa" w:w="70"/>
              <w:right w:type="dxa" w:w="110"/>
            </w:tcMar>
          </w:tcPr>
          <w:p>
            <w:pPr>
              <w:spacing w:after="0" w:line="250"/>
            </w:pPr>
            <w:r>
              <w:rPr>
                <w:b/>
                <w:bCs/>
                <w:color w:val="1F4E79"/>
                <w:sz w:val="18"/>
                <w:szCs w:val="18"/>
              </w:rPr>
              <w:t xml:space="preserve">Component</w:t>
            </w:r>
          </w:p>
        </w:tc>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Technology</w:t>
            </w:r>
          </w:p>
        </w:tc>
        <w:tc>
          <w:tcPr>
            <w:tcW w:type="dxa" w:w="4740"/>
            <w:shd w:fill="EEF3F8" w:color="auto" w:val="clear"/>
            <w:tcMar>
              <w:top w:type="dxa" w:w="70"/>
              <w:left w:type="dxa" w:w="110"/>
              <w:bottom w:type="dxa" w:w="70"/>
              <w:right w:type="dxa" w:w="110"/>
            </w:tcMar>
          </w:tcPr>
          <w:p>
            <w:pPr>
              <w:spacing w:after="0" w:line="250"/>
            </w:pPr>
            <w:r>
              <w:rPr>
                <w:b/>
                <w:bCs/>
                <w:color w:val="1F4E79"/>
                <w:sz w:val="18"/>
                <w:szCs w:val="18"/>
              </w:rPr>
              <w:t xml:space="preserve">Role</w:t>
            </w:r>
          </w:p>
        </w:tc>
      </w:tr>
      <w:tr>
        <w:tc>
          <w:tcPr>
            <w:tcW w:type="dxa" w:w="2400"/>
            <w:tcMar>
              <w:top w:type="dxa" w:w="70"/>
              <w:left w:type="dxa" w:w="110"/>
              <w:bottom w:type="dxa" w:w="70"/>
              <w:right w:type="dxa" w:w="110"/>
            </w:tcMar>
          </w:tcPr>
          <w:p>
            <w:pPr>
              <w:spacing w:after="0" w:line="250"/>
            </w:pPr>
            <w:r>
              <w:rPr>
                <w:b/>
                <w:bCs/>
                <w:sz w:val="18"/>
                <w:szCs w:val="18"/>
              </w:rPr>
              <w:t xml:space="preserve">Phase 1 — ML</w:t>
            </w:r>
          </w:p>
        </w:tc>
        <w:tc>
          <w:tcPr>
            <w:tcW w:type="dxa" w:w="2700"/>
            <w:tcMar>
              <w:top w:type="dxa" w:w="70"/>
              <w:left w:type="dxa" w:w="110"/>
              <w:bottom w:type="dxa" w:w="70"/>
              <w:right w:type="dxa" w:w="110"/>
            </w:tcMar>
          </w:tcPr>
          <w:p>
            <w:pPr>
              <w:spacing w:after="0" w:line="250"/>
            </w:pPr>
            <w:r>
              <w:rPr>
                <w:b w:val="false"/>
                <w:bCs w:val="false"/>
                <w:sz w:val="18"/>
                <w:szCs w:val="18"/>
              </w:rPr>
              <w:t xml:space="preserve">PySpark, H2O AutoML</w:t>
            </w:r>
          </w:p>
        </w:tc>
        <w:tc>
          <w:tcPr>
            <w:tcW w:type="dxa" w:w="4740"/>
            <w:tcMar>
              <w:top w:type="dxa" w:w="70"/>
              <w:left w:type="dxa" w:w="110"/>
              <w:bottom w:type="dxa" w:w="70"/>
              <w:right w:type="dxa" w:w="110"/>
            </w:tcMar>
          </w:tcPr>
          <w:p>
            <w:pPr>
              <w:spacing w:after="0" w:line="250"/>
            </w:pPr>
            <w:r>
              <w:rPr>
                <w:b w:val="false"/>
                <w:bCs w:val="false"/>
                <w:sz w:val="18"/>
                <w:szCs w:val="18"/>
              </w:rPr>
              <w:t xml:space="preserve">AutoML_h20_Prediction.py, Decision_Tress_analysis.py, Recommendation.py</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Phase 2 — Causal</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PyMC</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proper_causal_inference.py, full_dataset_causal_validation.py, bayesian_analysis_engine.py</w:t>
            </w:r>
          </w:p>
        </w:tc>
      </w:tr>
      <w:tr>
        <w:tc>
          <w:tcPr>
            <w:tcW w:type="dxa" w:w="2400"/>
            <w:tcMar>
              <w:top w:type="dxa" w:w="70"/>
              <w:left w:type="dxa" w:w="110"/>
              <w:bottom w:type="dxa" w:w="70"/>
              <w:right w:type="dxa" w:w="110"/>
            </w:tcMar>
          </w:tcPr>
          <w:p>
            <w:pPr>
              <w:spacing w:after="0" w:line="250"/>
            </w:pPr>
            <w:r>
              <w:rPr>
                <w:b/>
                <w:bCs/>
                <w:sz w:val="18"/>
                <w:szCs w:val="18"/>
              </w:rPr>
              <w:t xml:space="preserve">Phase 3 — Design</w:t>
            </w:r>
          </w:p>
        </w:tc>
        <w:tc>
          <w:tcPr>
            <w:tcW w:type="dxa" w:w="2700"/>
            <w:tcMar>
              <w:top w:type="dxa" w:w="70"/>
              <w:left w:type="dxa" w:w="110"/>
              <w:bottom w:type="dxa" w:w="70"/>
              <w:right w:type="dxa" w:w="110"/>
            </w:tcMar>
          </w:tcPr>
          <w:p>
            <w:pPr>
              <w:spacing w:after="0" w:line="250"/>
            </w:pPr>
            <w:r>
              <w:rPr>
                <w:b w:val="false"/>
                <w:bCs w:val="false"/>
                <w:sz w:val="18"/>
                <w:szCs w:val="18"/>
              </w:rPr>
              <w:t xml:space="preserve">custom power analysis</w:t>
            </w:r>
          </w:p>
        </w:tc>
        <w:tc>
          <w:tcPr>
            <w:tcW w:type="dxa" w:w="4740"/>
            <w:tcMar>
              <w:top w:type="dxa" w:w="70"/>
              <w:left w:type="dxa" w:w="110"/>
              <w:bottom w:type="dxa" w:w="70"/>
              <w:right w:type="dxa" w:w="110"/>
            </w:tcMar>
          </w:tcPr>
          <w:p>
            <w:pPr>
              <w:spacing w:after="0" w:line="250"/>
            </w:pPr>
            <w:r>
              <w:rPr>
                <w:b w:val="false"/>
                <w:bCs w:val="false"/>
                <w:sz w:val="18"/>
                <w:szCs w:val="18"/>
              </w:rPr>
              <w:t xml:space="preserve">power_analysis_experiments.py, sample_size_calculator.py, monte_carlo_simulation.py, experiment_randomization.py</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Phase 4 — Monitoring</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hierarchical Bayesian engine</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bayesian_ab_test_implementation.py, bayesian_monitoring_system.py, automated_reporting.py</w:t>
            </w:r>
          </w:p>
        </w:tc>
      </w:tr>
      <w:tr>
        <w:tc>
          <w:tcPr>
            <w:tcW w:type="dxa" w:w="2400"/>
            <w:tcMar>
              <w:top w:type="dxa" w:w="70"/>
              <w:left w:type="dxa" w:w="110"/>
              <w:bottom w:type="dxa" w:w="70"/>
              <w:right w:type="dxa" w:w="110"/>
            </w:tcMar>
          </w:tcPr>
          <w:p>
            <w:pPr>
              <w:spacing w:after="0" w:line="250"/>
            </w:pPr>
            <w:r>
              <w:rPr>
                <w:b/>
                <w:bCs/>
                <w:sz w:val="18"/>
                <w:szCs w:val="18"/>
              </w:rPr>
              <w:t xml:space="preserve">Phase 5 — Deployment</w:t>
            </w:r>
          </w:p>
        </w:tc>
        <w:tc>
          <w:tcPr>
            <w:tcW w:type="dxa" w:w="2700"/>
            <w:tcMar>
              <w:top w:type="dxa" w:w="70"/>
              <w:left w:type="dxa" w:w="110"/>
              <w:bottom w:type="dxa" w:w="70"/>
              <w:right w:type="dxa" w:w="110"/>
            </w:tcMar>
          </w:tcPr>
          <w:p>
            <w:pPr>
              <w:spacing w:after="0" w:line="250"/>
            </w:pPr>
            <w:r>
              <w:rPr>
                <w:b w:val="false"/>
                <w:bCs w:val="false"/>
                <w:sz w:val="18"/>
                <w:szCs w:val="18"/>
              </w:rPr>
              <w:t xml:space="preserve">Streamlit, Docker, Cloud Run</w:t>
            </w:r>
          </w:p>
        </w:tc>
        <w:tc>
          <w:tcPr>
            <w:tcW w:type="dxa" w:w="4740"/>
            <w:tcMar>
              <w:top w:type="dxa" w:w="70"/>
              <w:left w:type="dxa" w:w="110"/>
              <w:bottom w:type="dxa" w:w="70"/>
              <w:right w:type="dxa" w:w="110"/>
            </w:tcMar>
          </w:tcPr>
          <w:p>
            <w:pPr>
              <w:spacing w:after="0" w:line="250"/>
            </w:pPr>
            <w:r>
              <w:rPr>
                <w:b w:val="false"/>
                <w:bCs w:val="false"/>
                <w:sz w:val="18"/>
                <w:szCs w:val="18"/>
              </w:rPr>
              <w:t xml:space="preserve">streamlit_dashboard.py, Dockerfile, deploy_to_cloud_run.sh</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Tracking</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MLflow</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Experiment tracking across model runs</w:t>
            </w:r>
          </w:p>
        </w:tc>
      </w:tr>
      <w:tr>
        <w:tc>
          <w:tcPr>
            <w:tcW w:type="dxa" w:w="2400"/>
            <w:tcMar>
              <w:top w:type="dxa" w:w="70"/>
              <w:left w:type="dxa" w:w="110"/>
              <w:bottom w:type="dxa" w:w="70"/>
              <w:right w:type="dxa" w:w="110"/>
            </w:tcMar>
          </w:tcPr>
          <w:p>
            <w:pPr>
              <w:spacing w:after="0" w:line="250"/>
            </w:pPr>
            <w:r>
              <w:rPr>
                <w:b/>
                <w:bCs/>
                <w:sz w:val="18"/>
                <w:szCs w:val="18"/>
              </w:rPr>
              <w:t xml:space="preserve">Model store</w:t>
            </w:r>
          </w:p>
        </w:tc>
        <w:tc>
          <w:tcPr>
            <w:tcW w:type="dxa" w:w="2700"/>
            <w:tcMar>
              <w:top w:type="dxa" w:w="70"/>
              <w:left w:type="dxa" w:w="110"/>
              <w:bottom w:type="dxa" w:w="70"/>
              <w:right w:type="dxa" w:w="110"/>
            </w:tcMar>
          </w:tcPr>
          <w:p>
            <w:pPr>
              <w:spacing w:after="0" w:line="250"/>
            </w:pPr>
            <w:r>
              <w:rPr>
                <w:b w:val="false"/>
                <w:bCs w:val="false"/>
                <w:sz w:val="18"/>
                <w:szCs w:val="18"/>
              </w:rPr>
              <w:t xml:space="preserve">Models/</w:t>
            </w:r>
          </w:p>
        </w:tc>
        <w:tc>
          <w:tcPr>
            <w:tcW w:type="dxa" w:w="4740"/>
            <w:tcMar>
              <w:top w:type="dxa" w:w="70"/>
              <w:left w:type="dxa" w:w="110"/>
              <w:bottom w:type="dxa" w:w="70"/>
              <w:right w:type="dxa" w:w="110"/>
            </w:tcMar>
          </w:tcPr>
          <w:p>
            <w:pPr>
              <w:spacing w:after="0" w:line="250"/>
            </w:pPr>
            <w:r>
              <w:rPr>
                <w:b w:val="false"/>
                <w:bCs w:val="false"/>
                <w:sz w:val="18"/>
                <w:szCs w:val="18"/>
              </w:rPr>
              <w:t xml:space="preserve">model_h2o_stacked_ensemble/, decision_tree_model/</w:t>
            </w:r>
          </w:p>
        </w:tc>
      </w:tr>
    </w:tbl>
    <w:p>
      <w:pPr>
        <w:pStyle w:val="Heading2"/>
      </w:pPr>
      <w:r>
        <w:t xml:space="preserve">Data flow</w:t>
      </w:r>
    </w:p>
    <w:p>
      <w:pPr>
        <w:pStyle w:val="ListParagraph"/>
        <w:numPr>
          <w:ilvl w:val="0"/>
          <w:numId w:val="3"/>
        </w:numPr>
        <w:spacing w:after="90"/>
      </w:pPr>
      <w:r>
        <w:t xml:space="preserve">Raw Telco CSV → PySpark EDA → engineered features</w:t>
      </w:r>
    </w:p>
    <w:p>
      <w:pPr>
        <w:pStyle w:val="ListParagraph"/>
        <w:numPr>
          <w:ilvl w:val="0"/>
          <w:numId w:val="3"/>
        </w:numPr>
        <w:spacing w:after="90"/>
      </w:pPr>
      <w:r>
        <w:t xml:space="preserve">features + SMOTE → H2O AutoML → stacked ensemble → Models/</w:t>
      </w:r>
    </w:p>
    <w:p>
      <w:pPr>
        <w:pStyle w:val="ListParagraph"/>
        <w:numPr>
          <w:ilvl w:val="0"/>
          <w:numId w:val="3"/>
        </w:numPr>
        <w:spacing w:after="90"/>
      </w:pPr>
      <w:r>
        <w:t xml:space="preserve">raw table + exogenous demographics → PyMC → corrected causal estimate</w:t>
      </w:r>
    </w:p>
    <w:p>
      <w:pPr>
        <w:pStyle w:val="ListParagraph"/>
        <w:numPr>
          <w:ilvl w:val="0"/>
          <w:numId w:val="3"/>
        </w:numPr>
        <w:spacing w:after="90"/>
      </w:pPr>
      <w:r>
        <w:t xml:space="preserve">causal estimate → power analysis → stratified randomization → assignment logs</w:t>
      </w:r>
    </w:p>
    <w:p>
      <w:pPr>
        <w:pStyle w:val="ListParagraph"/>
        <w:numPr>
          <w:ilvl w:val="0"/>
          <w:numId w:val="3"/>
        </w:numPr>
        <w:spacing w:after="90"/>
      </w:pPr>
      <w:r>
        <w:t xml:space="preserve">experiment data → hierarchical Bayesian engine → sequential decision memos</w:t>
      </w:r>
    </w:p>
    <w:p>
      <w:pPr>
        <w:pStyle w:val="ListParagraph"/>
        <w:numPr>
          <w:ilvl w:val="0"/>
          <w:numId w:val="3"/>
        </w:numPr>
        <w:spacing w:after="90"/>
      </w:pPr>
      <w:r>
        <w:t xml:space="preserve">results → Streamlit dashboard → Cloud Run</w:t>
      </w:r>
    </w:p>
    <w:p>
      <w:pPr>
        <w:pStyle w:val="Heading1"/>
      </w:pPr>
      <w:r>
        <w:t xml:space="preserve">7. Deployment</w:t>
      </w:r>
    </w:p>
    <w:p>
      <w:pPr>
        <w:pStyle w:val="Heading2"/>
      </w:pPr>
      <w:r>
        <w:t xml:space="preserve">Current state</w:t>
      </w:r>
    </w:p>
    <w:p>
      <w:r>
        <w:t xml:space="preserve">The Phase 5 Streamlit dashboard is containerized and deployed to Cloud Run in us-central1 via deploy_to_cloud_run.sh, with a dedicated Dockerfile and requirements.txt under 'Phase_5_Depolyment guide'. DEPLOYMENT.md documents the procedure. The modeling and causal phases are not served — they run offline and write results that the dashboard reads.</w:t>
      </w:r>
    </w:p>
    <w:p>
      <w:pPr>
        <w:pStyle w:val="Heading2"/>
      </w:pPr>
      <w:r>
        <w:t xml:space="preserve">Configuration</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700"/>
        <w:gridCol w:w="7140"/>
      </w:tblGrid>
      <w:tr>
        <w:trPr>
          <w:tblHeader/>
        </w:trPr>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Setting</w:t>
            </w:r>
          </w:p>
        </w:tc>
        <w:tc>
          <w:tcPr>
            <w:tcW w:type="dxa" w:w="7140"/>
            <w:shd w:fill="EEF3F8" w:color="auto" w:val="clear"/>
            <w:tcMar>
              <w:top w:type="dxa" w:w="70"/>
              <w:left w:type="dxa" w:w="110"/>
              <w:bottom w:type="dxa" w:w="70"/>
              <w:right w:type="dxa" w:w="110"/>
            </w:tcMar>
          </w:tcPr>
          <w:p>
            <w:pPr>
              <w:spacing w:after="0" w:line="250"/>
            </w:pPr>
            <w:r>
              <w:rPr>
                <w:b/>
                <w:bCs/>
                <w:color w:val="1F4E79"/>
                <w:sz w:val="18"/>
                <w:szCs w:val="18"/>
              </w:rPr>
              <w:t xml:space="preserve">Value</w:t>
            </w:r>
          </w:p>
        </w:tc>
      </w:tr>
      <w:tr>
        <w:tc>
          <w:tcPr>
            <w:tcW w:type="dxa" w:w="2700"/>
            <w:tcMar>
              <w:top w:type="dxa" w:w="70"/>
              <w:left w:type="dxa" w:w="110"/>
              <w:bottom w:type="dxa" w:w="70"/>
              <w:right w:type="dxa" w:w="110"/>
            </w:tcMar>
          </w:tcPr>
          <w:p>
            <w:pPr>
              <w:spacing w:after="0" w:line="250"/>
            </w:pPr>
            <w:r>
              <w:rPr>
                <w:b/>
                <w:bCs/>
                <w:sz w:val="18"/>
                <w:szCs w:val="18"/>
              </w:rPr>
              <w:t xml:space="preserve">Platform</w:t>
            </w:r>
          </w:p>
        </w:tc>
        <w:tc>
          <w:tcPr>
            <w:tcW w:type="dxa" w:w="7140"/>
            <w:tcMar>
              <w:top w:type="dxa" w:w="70"/>
              <w:left w:type="dxa" w:w="110"/>
              <w:bottom w:type="dxa" w:w="70"/>
              <w:right w:type="dxa" w:w="110"/>
            </w:tcMar>
          </w:tcPr>
          <w:p>
            <w:pPr>
              <w:spacing w:after="0" w:line="250"/>
            </w:pPr>
            <w:r>
              <w:rPr>
                <w:b w:val="false"/>
                <w:bCs w:val="false"/>
                <w:sz w:val="18"/>
                <w:szCs w:val="18"/>
              </w:rPr>
              <w:t xml:space="preserve">Google Cloud Run, us-central1</w:t>
            </w:r>
          </w:p>
        </w:tc>
      </w:tr>
      <w:tr>
        <w:tc>
          <w:tcPr>
            <w:tcW w:type="dxa" w:w="2700"/>
            <w:shd w:fill="F7F9FB" w:color="auto" w:val="clear"/>
            <w:tcMar>
              <w:top w:type="dxa" w:w="70"/>
              <w:left w:type="dxa" w:w="110"/>
              <w:bottom w:type="dxa" w:w="70"/>
              <w:right w:type="dxa" w:w="110"/>
            </w:tcMar>
          </w:tcPr>
          <w:p>
            <w:pPr>
              <w:spacing w:after="0" w:line="250"/>
            </w:pPr>
            <w:r>
              <w:rPr>
                <w:b/>
                <w:bCs/>
                <w:sz w:val="18"/>
                <w:szCs w:val="18"/>
              </w:rPr>
              <w:t xml:space="preserve">Application</w:t>
            </w:r>
          </w:p>
        </w:tc>
        <w:tc>
          <w:tcPr>
            <w:tcW w:type="dxa" w:w="7140"/>
            <w:shd w:fill="F7F9FB" w:color="auto" w:val="clear"/>
            <w:tcMar>
              <w:top w:type="dxa" w:w="70"/>
              <w:left w:type="dxa" w:w="110"/>
              <w:bottom w:type="dxa" w:w="70"/>
              <w:right w:type="dxa" w:w="110"/>
            </w:tcMar>
          </w:tcPr>
          <w:p>
            <w:pPr>
              <w:spacing w:after="0" w:line="250"/>
            </w:pPr>
            <w:r>
              <w:rPr>
                <w:b w:val="false"/>
                <w:bCs w:val="false"/>
                <w:sz w:val="18"/>
                <w:szCs w:val="18"/>
              </w:rPr>
              <w:t xml:space="preserve">Phase_5/streamlit_dashboard.py</w:t>
            </w:r>
          </w:p>
        </w:tc>
      </w:tr>
      <w:tr>
        <w:tc>
          <w:tcPr>
            <w:tcW w:type="dxa" w:w="2700"/>
            <w:tcMar>
              <w:top w:type="dxa" w:w="70"/>
              <w:left w:type="dxa" w:w="110"/>
              <w:bottom w:type="dxa" w:w="70"/>
              <w:right w:type="dxa" w:w="110"/>
            </w:tcMar>
          </w:tcPr>
          <w:p>
            <w:pPr>
              <w:spacing w:after="0" w:line="250"/>
            </w:pPr>
            <w:r>
              <w:rPr>
                <w:b/>
                <w:bCs/>
                <w:sz w:val="18"/>
                <w:szCs w:val="18"/>
              </w:rPr>
              <w:t xml:space="preserve">Build</w:t>
            </w:r>
          </w:p>
        </w:tc>
        <w:tc>
          <w:tcPr>
            <w:tcW w:type="dxa" w:w="7140"/>
            <w:tcMar>
              <w:top w:type="dxa" w:w="70"/>
              <w:left w:type="dxa" w:w="110"/>
              <w:bottom w:type="dxa" w:w="70"/>
              <w:right w:type="dxa" w:w="110"/>
            </w:tcMar>
          </w:tcPr>
          <w:p>
            <w:pPr>
              <w:spacing w:after="0" w:line="250"/>
            </w:pPr>
            <w:r>
              <w:rPr>
                <w:b w:val="false"/>
                <w:bCs w:val="false"/>
                <w:sz w:val="18"/>
                <w:szCs w:val="18"/>
              </w:rPr>
              <w:t xml:space="preserve">Phase_5 Dockerfile + deploy_to_cloud_run.sh</w:t>
            </w:r>
          </w:p>
        </w:tc>
      </w:tr>
      <w:tr>
        <w:tc>
          <w:tcPr>
            <w:tcW w:type="dxa" w:w="2700"/>
            <w:shd w:fill="F7F9FB" w:color="auto" w:val="clear"/>
            <w:tcMar>
              <w:top w:type="dxa" w:w="70"/>
              <w:left w:type="dxa" w:w="110"/>
              <w:bottom w:type="dxa" w:w="70"/>
              <w:right w:type="dxa" w:w="110"/>
            </w:tcMar>
          </w:tcPr>
          <w:p>
            <w:pPr>
              <w:spacing w:after="0" w:line="250"/>
            </w:pPr>
            <w:r>
              <w:rPr>
                <w:b/>
                <w:bCs/>
                <w:sz w:val="18"/>
                <w:szCs w:val="18"/>
              </w:rPr>
              <w:t xml:space="preserve">Model artifacts</w:t>
            </w:r>
          </w:p>
        </w:tc>
        <w:tc>
          <w:tcPr>
            <w:tcW w:type="dxa" w:w="7140"/>
            <w:shd w:fill="F7F9FB" w:color="auto" w:val="clear"/>
            <w:tcMar>
              <w:top w:type="dxa" w:w="70"/>
              <w:left w:type="dxa" w:w="110"/>
              <w:bottom w:type="dxa" w:w="70"/>
              <w:right w:type="dxa" w:w="110"/>
            </w:tcMar>
          </w:tcPr>
          <w:p>
            <w:pPr>
              <w:spacing w:after="0" w:line="250"/>
            </w:pPr>
            <w:r>
              <w:rPr>
                <w:b w:val="false"/>
                <w:bCs w:val="false"/>
                <w:sz w:val="18"/>
                <w:szCs w:val="18"/>
              </w:rPr>
              <w:t xml:space="preserve">Models/model_h2o_stacked_ensemble/, Models/decision_tree_model/</w:t>
            </w:r>
          </w:p>
        </w:tc>
      </w:tr>
      <w:tr>
        <w:tc>
          <w:tcPr>
            <w:tcW w:type="dxa" w:w="2700"/>
            <w:tcMar>
              <w:top w:type="dxa" w:w="70"/>
              <w:left w:type="dxa" w:w="110"/>
              <w:bottom w:type="dxa" w:w="70"/>
              <w:right w:type="dxa" w:w="110"/>
            </w:tcMar>
          </w:tcPr>
          <w:p>
            <w:pPr>
              <w:spacing w:after="0" w:line="250"/>
            </w:pPr>
            <w:r>
              <w:rPr>
                <w:b/>
                <w:bCs/>
                <w:sz w:val="18"/>
                <w:szCs w:val="18"/>
              </w:rPr>
              <w:t xml:space="preserve">Tracking</w:t>
            </w:r>
          </w:p>
        </w:tc>
        <w:tc>
          <w:tcPr>
            <w:tcW w:type="dxa" w:w="7140"/>
            <w:tcMar>
              <w:top w:type="dxa" w:w="70"/>
              <w:left w:type="dxa" w:w="110"/>
              <w:bottom w:type="dxa" w:w="70"/>
              <w:right w:type="dxa" w:w="110"/>
            </w:tcMar>
          </w:tcPr>
          <w:p>
            <w:pPr>
              <w:spacing w:after="0" w:line="250"/>
            </w:pPr>
            <w:r>
              <w:rPr>
                <w:b w:val="false"/>
                <w:bCs w:val="false"/>
                <w:sz w:val="18"/>
                <w:szCs w:val="18"/>
              </w:rPr>
              <w:t xml:space="preserve">MLflow</w:t>
            </w:r>
          </w:p>
        </w:tc>
      </w:tr>
    </w:tbl>
    <w:p>
      <w:pPr>
        <w:pStyle w:val="Heading2"/>
      </w:pPr>
      <w:r>
        <w:t xml:space="preserve">Gaps</w:t>
      </w:r>
    </w:p>
    <w:p>
      <w:r>
        <w:t xml:space="preserve">No scoring API — the ensemble is not served, only its results are displayed. H2O models require a JVM at serving time, which is why they are not behind the dashboard. Experiment assignment logs are CSVs in the repo rather than in a durable store. Directory name 'Phase_5_Depolyment guide' contains a typo that will break naive path handling.</w:t>
      </w:r>
    </w:p>
    <w:p>
      <w:pPr>
        <w:pStyle w:val="Heading1"/>
      </w:pPr>
      <w:r>
        <w:t xml:space="preserve">8. Monitoring &amp; Observability</w:t>
      </w:r>
    </w:p>
    <w:p>
      <w:pPr>
        <w:pStyle w:val="Heading2"/>
      </w:pPr>
      <w:r>
        <w:t xml:space="preserve">Current state</w:t>
      </w:r>
    </w:p>
    <w:p>
      <w:r>
        <w:t xml:space="preserve">Phase 4 is a genuine monitoring system: the hierarchical Bayesian engine evaluates running experiments sequentially against ROPE-based stopping rules and generates automated decision memos. A Week 6 winner was declared at 99% confidence.</w:t>
      </w:r>
    </w:p>
    <w:p>
      <w:pPr>
        <w:pStyle w:val="Heading2"/>
      </w:pPr>
      <w:r>
        <w:t xml:space="preserve">Gaps</w:t>
      </w:r>
    </w:p>
    <w:p>
      <w:r>
        <w:t xml:space="preserve">This monitors experiments, not the model. There is no prediction drift tracking, no calibration check (SMOTE distorts predicted probabilities), no fairness monitoring across the demographic features that sit in both the feature and adjustment sets, and no retraining trigger.</w:t>
      </w:r>
    </w:p>
    <w:p>
      <w:pPr>
        <w:pStyle w:val="Heading1"/>
      </w:pPr>
      <w:r>
        <w:t xml:space="preserve">9. Risks &amp; Mitigations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3800"/>
        <w:gridCol w:w="1240"/>
        <w:gridCol w:w="4800"/>
      </w:tblGrid>
      <w:tr>
        <w:trPr>
          <w:tblHeader/>
        </w:trPr>
        <w:tc>
          <w:tcPr>
            <w:tcW w:type="dxa" w:w="3800"/>
            <w:shd w:fill="EEF3F8" w:color="auto" w:val="clear"/>
            <w:tcMar>
              <w:top w:type="dxa" w:w="70"/>
              <w:left w:type="dxa" w:w="110"/>
              <w:bottom w:type="dxa" w:w="70"/>
              <w:right w:type="dxa" w:w="110"/>
            </w:tcMar>
          </w:tcPr>
          <w:p>
            <w:pPr>
              <w:spacing w:after="0" w:line="250"/>
            </w:pPr>
            <w:r>
              <w:rPr>
                <w:b/>
                <w:bCs/>
                <w:color w:val="1F4E79"/>
                <w:sz w:val="18"/>
                <w:szCs w:val="18"/>
              </w:rPr>
              <w:t xml:space="preserve">Risk</w:t>
            </w:r>
          </w:p>
        </w:tc>
        <w:tc>
          <w:tcPr>
            <w:tcW w:type="dxa" w:w="1240"/>
            <w:shd w:fill="EEF3F8" w:color="auto" w:val="clear"/>
            <w:tcMar>
              <w:top w:type="dxa" w:w="70"/>
              <w:left w:type="dxa" w:w="110"/>
              <w:bottom w:type="dxa" w:w="70"/>
              <w:right w:type="dxa" w:w="110"/>
            </w:tcMar>
          </w:tcPr>
          <w:p>
            <w:pPr>
              <w:spacing w:after="0" w:line="250"/>
            </w:pPr>
            <w:r>
              <w:rPr>
                <w:b/>
                <w:bCs/>
                <w:color w:val="1F4E79"/>
                <w:sz w:val="18"/>
                <w:szCs w:val="18"/>
              </w:rPr>
              <w:t xml:space="preserve">Severity</w:t>
            </w:r>
          </w:p>
        </w:tc>
        <w:tc>
          <w:tcPr>
            <w:tcW w:type="dxa" w:w="4800"/>
            <w:shd w:fill="EEF3F8" w:color="auto" w:val="clear"/>
            <w:tcMar>
              <w:top w:type="dxa" w:w="70"/>
              <w:left w:type="dxa" w:w="110"/>
              <w:bottom w:type="dxa" w:w="70"/>
              <w:right w:type="dxa" w:w="110"/>
            </w:tcMar>
          </w:tcPr>
          <w:p>
            <w:pPr>
              <w:spacing w:after="0" w:line="250"/>
            </w:pPr>
            <w:r>
              <w:rPr>
                <w:b/>
                <w:bCs/>
                <w:color w:val="1F4E79"/>
                <w:sz w:val="18"/>
                <w:szCs w:val="18"/>
              </w:rPr>
              <w:t xml:space="preserve">Mitigation</w:t>
            </w:r>
          </w:p>
        </w:tc>
      </w:tr>
      <w:tr>
        <w:tc>
          <w:tcPr>
            <w:tcW w:type="dxa" w:w="3800"/>
            <w:tcMar>
              <w:top w:type="dxa" w:w="70"/>
              <w:left w:type="dxa" w:w="110"/>
              <w:bottom w:type="dxa" w:w="70"/>
              <w:right w:type="dxa" w:w="110"/>
            </w:tcMar>
          </w:tcPr>
          <w:p>
            <w:pPr>
              <w:spacing w:after="0" w:line="250"/>
            </w:pPr>
            <w:r>
              <w:rPr>
                <w:b w:val="false"/>
                <w:bCs w:val="false"/>
                <w:sz w:val="18"/>
                <w:szCs w:val="18"/>
              </w:rPr>
              <w:t xml:space="preserve">Demographics (gender, senior citizen, dependents, partner) appear in both the prediction and adjustment sets, so score-driven offers could distribute unevenly across protected groups</w:t>
            </w:r>
          </w:p>
        </w:tc>
        <w:tc>
          <w:tcPr>
            <w:tcW w:type="dxa" w:w="1240"/>
            <w:tcMar>
              <w:top w:type="dxa" w:w="70"/>
              <w:left w:type="dxa" w:w="110"/>
              <w:bottom w:type="dxa" w:w="70"/>
              <w:right w:type="dxa" w:w="110"/>
            </w:tcMar>
          </w:tcPr>
          <w:p>
            <w:pPr>
              <w:spacing w:after="0" w:line="250"/>
            </w:pPr>
            <w:r>
              <w:rPr>
                <w:b/>
                <w:bCs/>
                <w:color w:val="A83232"/>
                <w:sz w:val="18"/>
                <w:szCs w:val="18"/>
              </w:rPr>
              <w:t xml:space="preserve">High</w:t>
            </w:r>
          </w:p>
        </w:tc>
        <w:tc>
          <w:tcPr>
            <w:tcW w:type="dxa" w:w="4800"/>
            <w:tcMar>
              <w:top w:type="dxa" w:w="70"/>
              <w:left w:type="dxa" w:w="110"/>
              <w:bottom w:type="dxa" w:w="70"/>
              <w:right w:type="dxa" w:w="110"/>
            </w:tcMar>
          </w:tcPr>
          <w:p>
            <w:pPr>
              <w:spacing w:after="0" w:line="250"/>
            </w:pPr>
            <w:r>
              <w:rPr>
                <w:b w:val="false"/>
                <w:bCs w:val="false"/>
                <w:sz w:val="18"/>
                <w:szCs w:val="18"/>
              </w:rPr>
              <w:t xml:space="preserve">Demographics used as backdoor-criterion adjustment rather than targeting rules; the project routes decisions through stratified randomized experiments rather than model-score rollout.</w:t>
            </w:r>
          </w:p>
        </w:tc>
      </w:tr>
      <w:tr>
        <w:tc>
          <w:tcPr>
            <w:tcW w:type="dxa" w:w="3800"/>
            <w:shd w:fill="F7F9FB" w:color="auto" w:val="clear"/>
            <w:tcMar>
              <w:top w:type="dxa" w:w="70"/>
              <w:left w:type="dxa" w:w="110"/>
              <w:bottom w:type="dxa" w:w="70"/>
              <w:right w:type="dxa" w:w="110"/>
            </w:tcMar>
          </w:tcPr>
          <w:p>
            <w:pPr>
              <w:spacing w:after="0" w:line="250"/>
            </w:pPr>
            <w:r>
              <w:rPr>
                <w:b w:val="false"/>
                <w:bCs w:val="false"/>
                <w:sz w:val="18"/>
                <w:szCs w:val="18"/>
              </w:rPr>
              <w:t xml:space="preserve">Collider bias silently inverting effect direction</w:t>
            </w:r>
          </w:p>
        </w:tc>
        <w:tc>
          <w:tcPr>
            <w:tcW w:type="dxa" w:w="1240"/>
            <w:shd w:fill="F7F9FB" w:color="auto" w:val="clear"/>
            <w:tcMar>
              <w:top w:type="dxa" w:w="70"/>
              <w:left w:type="dxa" w:w="110"/>
              <w:bottom w:type="dxa" w:w="70"/>
              <w:right w:type="dxa" w:w="110"/>
            </w:tcMar>
          </w:tcPr>
          <w:p>
            <w:pPr>
              <w:spacing w:after="0" w:line="250"/>
            </w:pPr>
            <w:r>
              <w:rPr>
                <w:b/>
                <w:bCs/>
                <w:color w:val="A83232"/>
                <w:sz w:val="18"/>
                <w:szCs w:val="18"/>
              </w:rPr>
              <w:t xml:space="preserve">High</w:t>
            </w:r>
          </w:p>
        </w:tc>
        <w:tc>
          <w:tcPr>
            <w:tcW w:type="dxa" w:w="4800"/>
            <w:shd w:fill="F7F9FB" w:color="auto" w:val="clear"/>
            <w:tcMar>
              <w:top w:type="dxa" w:w="70"/>
              <w:left w:type="dxa" w:w="110"/>
              <w:bottom w:type="dxa" w:w="70"/>
              <w:right w:type="dxa" w:w="110"/>
            </w:tcMar>
          </w:tcPr>
          <w:p>
            <w:pPr>
              <w:spacing w:after="0" w:line="250"/>
            </w:pPr>
            <w:r>
              <w:rPr>
                <w:b w:val="false"/>
                <w:bCs w:val="false"/>
                <w:sz w:val="18"/>
                <w:szCs w:val="18"/>
              </w:rPr>
              <w:t xml:space="preserve">Detected, empirically confirmed via stratification reversal, and corrected — the documented centerpiece of the project.</w:t>
            </w:r>
          </w:p>
        </w:tc>
      </w:tr>
      <w:tr>
        <w:tc>
          <w:tcPr>
            <w:tcW w:type="dxa" w:w="3800"/>
            <w:tcMar>
              <w:top w:type="dxa" w:w="70"/>
              <w:left w:type="dxa" w:w="110"/>
              <w:bottom w:type="dxa" w:w="70"/>
              <w:right w:type="dxa" w:w="110"/>
            </w:tcMar>
          </w:tcPr>
          <w:p>
            <w:pPr>
              <w:spacing w:after="0" w:line="250"/>
            </w:pPr>
            <w:r>
              <w:rPr>
                <w:b w:val="false"/>
                <w:bCs w:val="false"/>
                <w:sz w:val="18"/>
                <w:szCs w:val="18"/>
              </w:rPr>
              <w:t xml:space="preserve">SMOTE distorts predicted probability calibration</w:t>
            </w:r>
          </w:p>
        </w:tc>
        <w:tc>
          <w:tcPr>
            <w:tcW w:type="dxa" w:w="1240"/>
            <w:tcMar>
              <w:top w:type="dxa" w:w="70"/>
              <w:left w:type="dxa" w:w="110"/>
              <w:bottom w:type="dxa" w:w="70"/>
              <w:right w:type="dxa" w:w="110"/>
            </w:tcMar>
          </w:tcPr>
          <w:p>
            <w:pPr>
              <w:spacing w:after="0" w:line="250"/>
            </w:pPr>
            <w:r>
              <w:rPr>
                <w:b/>
                <w:bCs/>
                <w:color w:val="8A4B08"/>
                <w:sz w:val="18"/>
                <w:szCs w:val="18"/>
              </w:rPr>
              <w:t xml:space="preserve">Medium</w:t>
            </w:r>
          </w:p>
        </w:tc>
        <w:tc>
          <w:tcPr>
            <w:tcW w:type="dxa" w:w="4800"/>
            <w:tcMar>
              <w:top w:type="dxa" w:w="70"/>
              <w:left w:type="dxa" w:w="110"/>
              <w:bottom w:type="dxa" w:w="70"/>
              <w:right w:type="dxa" w:w="110"/>
            </w:tcMar>
          </w:tcPr>
          <w:p>
            <w:pPr>
              <w:spacing w:after="0" w:line="250"/>
            </w:pPr>
            <w:r>
              <w:rPr>
                <w:b w:val="false"/>
                <w:bCs w:val="false"/>
                <w:sz w:val="18"/>
                <w:szCs w:val="18"/>
              </w:rPr>
              <w:t xml:space="preserve">Acknowledged; calibration assessment is a roadmap item.</w:t>
            </w:r>
          </w:p>
        </w:tc>
      </w:tr>
      <w:tr>
        <w:tc>
          <w:tcPr>
            <w:tcW w:type="dxa" w:w="3800"/>
            <w:shd w:fill="F7F9FB" w:color="auto" w:val="clear"/>
            <w:tcMar>
              <w:top w:type="dxa" w:w="70"/>
              <w:left w:type="dxa" w:w="110"/>
              <w:bottom w:type="dxa" w:w="70"/>
              <w:right w:type="dxa" w:w="110"/>
            </w:tcMar>
          </w:tcPr>
          <w:p>
            <w:pPr>
              <w:spacing w:after="0" w:line="250"/>
            </w:pPr>
            <w:r>
              <w:rPr>
                <w:b w:val="false"/>
                <w:bCs w:val="false"/>
                <w:sz w:val="18"/>
                <w:szCs w:val="18"/>
              </w:rPr>
              <w:t xml:space="preserve">Acting on the +52pp early-tenure signal without identification</w:t>
            </w:r>
          </w:p>
        </w:tc>
        <w:tc>
          <w:tcPr>
            <w:tcW w:type="dxa" w:w="1240"/>
            <w:shd w:fill="F7F9FB" w:color="auto" w:val="clear"/>
            <w:tcMar>
              <w:top w:type="dxa" w:w="70"/>
              <w:left w:type="dxa" w:w="110"/>
              <w:bottom w:type="dxa" w:w="70"/>
              <w:right w:type="dxa" w:w="110"/>
            </w:tcMar>
          </w:tcPr>
          <w:p>
            <w:pPr>
              <w:spacing w:after="0" w:line="250"/>
            </w:pPr>
            <w:r>
              <w:rPr>
                <w:b/>
                <w:bCs/>
                <w:color w:val="A83232"/>
                <w:sz w:val="18"/>
                <w:szCs w:val="18"/>
              </w:rPr>
              <w:t xml:space="preserve">High</w:t>
            </w:r>
          </w:p>
        </w:tc>
        <w:tc>
          <w:tcPr>
            <w:tcW w:type="dxa" w:w="4800"/>
            <w:shd w:fill="F7F9FB" w:color="auto" w:val="clear"/>
            <w:tcMar>
              <w:top w:type="dxa" w:w="70"/>
              <w:left w:type="dxa" w:w="110"/>
              <w:bottom w:type="dxa" w:w="70"/>
              <w:right w:type="dxa" w:w="110"/>
            </w:tcMar>
          </w:tcPr>
          <w:p>
            <w:pPr>
              <w:spacing w:after="0" w:line="250"/>
            </w:pPr>
            <w:r>
              <w:rPr>
                <w:b w:val="false"/>
                <w:bCs w:val="false"/>
                <w:sz w:val="18"/>
                <w:szCs w:val="18"/>
              </w:rPr>
              <w:t xml:space="preserve">Explicitly flagged as 'requires experiment'; three randomized tests designed at 95% power.</w:t>
            </w:r>
          </w:p>
        </w:tc>
      </w:tr>
      <w:tr>
        <w:tc>
          <w:tcPr>
            <w:tcW w:type="dxa" w:w="3800"/>
            <w:tcMar>
              <w:top w:type="dxa" w:w="70"/>
              <w:left w:type="dxa" w:w="110"/>
              <w:bottom w:type="dxa" w:w="70"/>
              <w:right w:type="dxa" w:w="110"/>
            </w:tcMar>
          </w:tcPr>
          <w:p>
            <w:pPr>
              <w:spacing w:after="0" w:line="250"/>
            </w:pPr>
            <w:r>
              <w:rPr>
                <w:b w:val="false"/>
                <w:bCs w:val="false"/>
                <w:sz w:val="18"/>
                <w:szCs w:val="18"/>
              </w:rPr>
              <w:t xml:space="preserve">Predictive accuracy mistaken for causal validity</w:t>
            </w:r>
          </w:p>
        </w:tc>
        <w:tc>
          <w:tcPr>
            <w:tcW w:type="dxa" w:w="1240"/>
            <w:tcMar>
              <w:top w:type="dxa" w:w="70"/>
              <w:left w:type="dxa" w:w="110"/>
              <w:bottom w:type="dxa" w:w="70"/>
              <w:right w:type="dxa" w:w="110"/>
            </w:tcMar>
          </w:tcPr>
          <w:p>
            <w:pPr>
              <w:spacing w:after="0" w:line="250"/>
            </w:pPr>
            <w:r>
              <w:rPr>
                <w:b/>
                <w:bCs/>
                <w:color w:val="A83232"/>
                <w:sz w:val="18"/>
                <w:szCs w:val="18"/>
              </w:rPr>
              <w:t xml:space="preserve">High</w:t>
            </w:r>
          </w:p>
        </w:tc>
        <w:tc>
          <w:tcPr>
            <w:tcW w:type="dxa" w:w="4800"/>
            <w:tcMar>
              <w:top w:type="dxa" w:w="70"/>
              <w:left w:type="dxa" w:w="110"/>
              <w:bottom w:type="dxa" w:w="70"/>
              <w:right w:type="dxa" w:w="110"/>
            </w:tcMar>
          </w:tcPr>
          <w:p>
            <w:pPr>
              <w:spacing w:after="0" w:line="250"/>
            </w:pPr>
            <w:r>
              <w:rPr>
                <w:b w:val="false"/>
                <w:bCs w:val="false"/>
                <w:sz w:val="18"/>
                <w:szCs w:val="18"/>
              </w:rPr>
              <w:t xml:space="preserve">The five-phase structure exists specifically to keep these separate.</w:t>
            </w:r>
          </w:p>
        </w:tc>
      </w:tr>
    </w:tbl>
    <w:p>
      <w:pPr>
        <w:pStyle w:val="Heading1"/>
      </w:pPr>
      <w:r>
        <w:t xml:space="preserve">10. Productionization Roadmap</w:t>
      </w:r>
    </w:p>
    <w:p>
      <w:r>
        <w:t xml:space="preserve">What would be required to run this system for real. P0 items are correctness or safety issues that should be resolved before the work is presented as production-ready; P1 items close the gap to a serviceable deployment; P2 items are maturity improvements. Effort is a rough T-shirt size: S under a day, M a few days, L a week or more.</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1700"/>
        <w:gridCol w:w="2700"/>
        <w:gridCol w:w="4540"/>
        <w:gridCol w:w="900"/>
      </w:tblGrid>
      <w:tr>
        <w:trPr>
          <w:tblHeader/>
        </w:trPr>
        <w:tc>
          <w:tcPr>
            <w:tcW w:type="dxa" w:w="1700"/>
            <w:shd w:fill="EEF3F8" w:color="auto" w:val="clear"/>
            <w:tcMar>
              <w:top w:type="dxa" w:w="70"/>
              <w:left w:type="dxa" w:w="110"/>
              <w:bottom w:type="dxa" w:w="70"/>
              <w:right w:type="dxa" w:w="110"/>
            </w:tcMar>
          </w:tcPr>
          <w:p>
            <w:pPr>
              <w:spacing w:after="0" w:line="250"/>
            </w:pPr>
            <w:r>
              <w:rPr>
                <w:b/>
                <w:bCs/>
                <w:color w:val="1F4E79"/>
                <w:sz w:val="18"/>
                <w:szCs w:val="18"/>
              </w:rPr>
              <w:t xml:space="preserve">Phase</w:t>
            </w:r>
          </w:p>
        </w:tc>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Gap</w:t>
            </w:r>
          </w:p>
        </w:tc>
        <w:tc>
          <w:tcPr>
            <w:tcW w:type="dxa" w:w="4540"/>
            <w:shd w:fill="EEF3F8" w:color="auto" w:val="clear"/>
            <w:tcMar>
              <w:top w:type="dxa" w:w="70"/>
              <w:left w:type="dxa" w:w="110"/>
              <w:bottom w:type="dxa" w:w="70"/>
              <w:right w:type="dxa" w:w="110"/>
            </w:tcMar>
          </w:tcPr>
          <w:p>
            <w:pPr>
              <w:spacing w:after="0" w:line="250"/>
            </w:pPr>
            <w:r>
              <w:rPr>
                <w:b/>
                <w:bCs/>
                <w:color w:val="1F4E79"/>
                <w:sz w:val="18"/>
                <w:szCs w:val="18"/>
              </w:rPr>
              <w:t xml:space="preserve">Action</w:t>
            </w:r>
          </w:p>
        </w:tc>
        <w:tc>
          <w:tcPr>
            <w:tcW w:type="dxa" w:w="900"/>
            <w:shd w:fill="EEF3F8" w:color="auto" w:val="clear"/>
            <w:tcMar>
              <w:top w:type="dxa" w:w="70"/>
              <w:left w:type="dxa" w:w="110"/>
              <w:bottom w:type="dxa" w:w="70"/>
              <w:right w:type="dxa" w:w="110"/>
            </w:tcMar>
          </w:tcPr>
          <w:p>
            <w:pPr>
              <w:spacing w:after="0" w:line="250"/>
            </w:pPr>
            <w:r>
              <w:rPr>
                <w:b/>
                <w:bCs/>
                <w:color w:val="1F4E79"/>
                <w:sz w:val="18"/>
                <w:szCs w:val="18"/>
              </w:rPr>
              <w:t xml:space="preserve">Effort</w:t>
            </w:r>
          </w:p>
        </w:tc>
      </w:tr>
      <w:tr>
        <w:tc>
          <w:tcPr>
            <w:tcW w:type="dxa" w:w="1700"/>
            <w:shd w:fill="FBE9E7" w:color="auto" w:val="clear"/>
            <w:tcMar>
              <w:top w:type="dxa" w:w="70"/>
              <w:left w:type="dxa" w:w="110"/>
              <w:bottom w:type="dxa" w:w="70"/>
              <w:right w:type="dxa" w:w="110"/>
            </w:tcMar>
          </w:tcPr>
          <w:p>
            <w:pPr>
              <w:spacing w:after="0" w:line="250"/>
            </w:pPr>
            <w:r>
              <w:rPr>
                <w:b/>
                <w:bCs/>
                <w:sz w:val="18"/>
                <w:szCs w:val="18"/>
              </w:rPr>
              <w:t xml:space="preserve">P0 — Data handling</w:t>
            </w:r>
          </w:p>
        </w:tc>
        <w:tc>
          <w:tcPr>
            <w:tcW w:type="dxa" w:w="2700"/>
            <w:tcMar>
              <w:top w:type="dxa" w:w="70"/>
              <w:left w:type="dxa" w:w="110"/>
              <w:bottom w:type="dxa" w:w="70"/>
              <w:right w:type="dxa" w:w="110"/>
            </w:tcMar>
          </w:tcPr>
          <w:p>
            <w:pPr>
              <w:spacing w:after="0" w:line="250"/>
            </w:pPr>
            <w:r>
              <w:rPr>
                <w:b w:val="false"/>
                <w:bCs w:val="false"/>
                <w:sz w:val="18"/>
                <w:szCs w:val="18"/>
              </w:rPr>
              <w:t xml:space="preserve">TotalCharges parsed as text; 11 tenure-0 rows hold blanks</w:t>
            </w:r>
          </w:p>
        </w:tc>
        <w:tc>
          <w:tcPr>
            <w:tcW w:type="dxa" w:w="4540"/>
            <w:tcMar>
              <w:top w:type="dxa" w:w="70"/>
              <w:left w:type="dxa" w:w="110"/>
              <w:bottom w:type="dxa" w:w="70"/>
              <w:right w:type="dxa" w:w="110"/>
            </w:tcMar>
          </w:tcPr>
          <w:p>
            <w:pPr>
              <w:spacing w:after="0" w:line="250"/>
            </w:pPr>
            <w:r>
              <w:rPr>
                <w:b w:val="false"/>
                <w:bCs w:val="false"/>
                <w:sz w:val="18"/>
                <w:szCs w:val="18"/>
              </w:rPr>
              <w:t xml:space="preserve">Handle explicitly rather than coercing to NaN — these are exactly the new customers the early-tenure hypothesis targets</w:t>
            </w:r>
          </w:p>
        </w:tc>
        <w:tc>
          <w:tcPr>
            <w:tcW w:type="dxa" w:w="900"/>
            <w:tcMar>
              <w:top w:type="dxa" w:w="70"/>
              <w:left w:type="dxa" w:w="110"/>
              <w:bottom w:type="dxa" w:w="70"/>
              <w:right w:type="dxa" w:w="110"/>
            </w:tcMar>
          </w:tcPr>
          <w:p>
            <w:pPr>
              <w:spacing w:after="0" w:line="250"/>
            </w:pPr>
            <w:r>
              <w:rPr>
                <w:b/>
                <w:bCs/>
                <w:sz w:val="18"/>
                <w:szCs w:val="18"/>
              </w:rPr>
              <w:t xml:space="preserve">S</w:t>
            </w:r>
          </w:p>
        </w:tc>
      </w:tr>
      <w:tr>
        <w:tc>
          <w:tcPr>
            <w:tcW w:type="dxa" w:w="1700"/>
            <w:shd w:fill="FBE9E7" w:color="auto" w:val="clear"/>
            <w:tcMar>
              <w:top w:type="dxa" w:w="70"/>
              <w:left w:type="dxa" w:w="110"/>
              <w:bottom w:type="dxa" w:w="70"/>
              <w:right w:type="dxa" w:w="110"/>
            </w:tcMar>
          </w:tcPr>
          <w:p>
            <w:pPr>
              <w:spacing w:after="0" w:line="250"/>
            </w:pPr>
            <w:r>
              <w:rPr>
                <w:b/>
                <w:bCs/>
                <w:sz w:val="18"/>
                <w:szCs w:val="18"/>
              </w:rPr>
              <w:t xml:space="preserve">P0 — Calibration</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SMOTE distorts predicted probabilities</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Add isotonic or Platt calibration on a held-out set and report a reliability diagram; uncalibrated scores should not drive spend decisions</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M</w:t>
            </w:r>
          </w:p>
        </w:tc>
      </w:tr>
      <w:tr>
        <w:tc>
          <w:tcPr>
            <w:tcW w:type="dxa" w:w="1700"/>
            <w:shd w:fill="FBE9E7" w:color="auto" w:val="clear"/>
            <w:tcMar>
              <w:top w:type="dxa" w:w="70"/>
              <w:left w:type="dxa" w:w="110"/>
              <w:bottom w:type="dxa" w:w="70"/>
              <w:right w:type="dxa" w:w="110"/>
            </w:tcMar>
          </w:tcPr>
          <w:p>
            <w:pPr>
              <w:spacing w:after="0" w:line="250"/>
            </w:pPr>
            <w:r>
              <w:rPr>
                <w:b/>
                <w:bCs/>
                <w:sz w:val="18"/>
                <w:szCs w:val="18"/>
              </w:rPr>
              <w:t xml:space="preserve">P0 — Hygiene</w:t>
            </w:r>
          </w:p>
        </w:tc>
        <w:tc>
          <w:tcPr>
            <w:tcW w:type="dxa" w:w="2700"/>
            <w:tcMar>
              <w:top w:type="dxa" w:w="70"/>
              <w:left w:type="dxa" w:w="110"/>
              <w:bottom w:type="dxa" w:w="70"/>
              <w:right w:type="dxa" w:w="110"/>
            </w:tcMar>
          </w:tcPr>
          <w:p>
            <w:pPr>
              <w:spacing w:after="0" w:line="250"/>
            </w:pPr>
            <w:r>
              <w:rPr>
                <w:b w:val="false"/>
                <w:bCs w:val="false"/>
                <w:sz w:val="18"/>
                <w:szCs w:val="18"/>
              </w:rPr>
              <w:t xml:space="preserve">'Phase_5_Depolyment guide' directory name is misspelled and spaced</w:t>
            </w:r>
          </w:p>
        </w:tc>
        <w:tc>
          <w:tcPr>
            <w:tcW w:type="dxa" w:w="4540"/>
            <w:tcMar>
              <w:top w:type="dxa" w:w="70"/>
              <w:left w:type="dxa" w:w="110"/>
              <w:bottom w:type="dxa" w:w="70"/>
              <w:right w:type="dxa" w:w="110"/>
            </w:tcMar>
          </w:tcPr>
          <w:p>
            <w:pPr>
              <w:spacing w:after="0" w:line="250"/>
            </w:pPr>
            <w:r>
              <w:rPr>
                <w:b w:val="false"/>
                <w:bCs w:val="false"/>
                <w:sz w:val="18"/>
                <w:szCs w:val="18"/>
              </w:rPr>
              <w:t xml:space="preserve">Rename to phase_5_deployment</w:t>
            </w:r>
          </w:p>
        </w:tc>
        <w:tc>
          <w:tcPr>
            <w:tcW w:type="dxa" w:w="900"/>
            <w:tcMar>
              <w:top w:type="dxa" w:w="70"/>
              <w:left w:type="dxa" w:w="110"/>
              <w:bottom w:type="dxa" w:w="70"/>
              <w:right w:type="dxa" w:w="110"/>
            </w:tcMar>
          </w:tcPr>
          <w:p>
            <w:pPr>
              <w:spacing w:after="0" w:line="250"/>
            </w:pPr>
            <w:r>
              <w:rPr>
                <w:b/>
                <w:bCs/>
                <w:sz w:val="18"/>
                <w:szCs w:val="18"/>
              </w:rPr>
              <w:t xml:space="preserve">S</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Serving</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No scoring API; H2O needs a JVM</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Export the ensemble as a MOJO and serve it behind a FastAPI endpoint on Cloud Run, or retrain an equivalent sklearn/XGBoost pipeline to avoid the JVM dependency entirely</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L</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Fairness</w:t>
            </w:r>
          </w:p>
        </w:tc>
        <w:tc>
          <w:tcPr>
            <w:tcW w:type="dxa" w:w="2700"/>
            <w:tcMar>
              <w:top w:type="dxa" w:w="70"/>
              <w:left w:type="dxa" w:w="110"/>
              <w:bottom w:type="dxa" w:w="70"/>
              <w:right w:type="dxa" w:w="110"/>
            </w:tcMar>
          </w:tcPr>
          <w:p>
            <w:pPr>
              <w:spacing w:after="0" w:line="250"/>
            </w:pPr>
            <w:r>
              <w:rPr>
                <w:b w:val="false"/>
                <w:bCs w:val="false"/>
                <w:sz w:val="18"/>
                <w:szCs w:val="18"/>
              </w:rPr>
              <w:t xml:space="preserve">No monitoring across protected attributes</w:t>
            </w:r>
          </w:p>
        </w:tc>
        <w:tc>
          <w:tcPr>
            <w:tcW w:type="dxa" w:w="4540"/>
            <w:tcMar>
              <w:top w:type="dxa" w:w="70"/>
              <w:left w:type="dxa" w:w="110"/>
              <w:bottom w:type="dxa" w:w="70"/>
              <w:right w:type="dxa" w:w="110"/>
            </w:tcMar>
          </w:tcPr>
          <w:p>
            <w:pPr>
              <w:spacing w:after="0" w:line="250"/>
            </w:pPr>
            <w:r>
              <w:rPr>
                <w:b w:val="false"/>
                <w:bCs w:val="false"/>
                <w:sz w:val="18"/>
                <w:szCs w:val="18"/>
              </w:rPr>
              <w:t xml:space="preserve">Add per-group performance and offer-rate reporting (gender, senior citizen, dependents, partner) as a standing dashboard panel</w:t>
            </w:r>
          </w:p>
        </w:tc>
        <w:tc>
          <w:tcPr>
            <w:tcW w:type="dxa" w:w="900"/>
            <w:tcMar>
              <w:top w:type="dxa" w:w="70"/>
              <w:left w:type="dxa" w:w="110"/>
              <w:bottom w:type="dxa" w:w="70"/>
              <w:right w:type="dxa" w:w="110"/>
            </w:tcMar>
          </w:tcPr>
          <w:p>
            <w:pPr>
              <w:spacing w:after="0" w:line="250"/>
            </w:pPr>
            <w:r>
              <w:rPr>
                <w:b/>
                <w:bCs/>
                <w:sz w:val="18"/>
                <w:szCs w:val="18"/>
              </w:rPr>
              <w:t xml:space="preserve">M</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Durability</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Experiment assignment logs live as CSVs in the repo</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Move assignments and outcomes to BigQuery or Firestore with append-only semantics</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M</w:t>
            </w:r>
          </w:p>
        </w:tc>
      </w:tr>
      <w:tr>
        <w:tc>
          <w:tcPr>
            <w:tcW w:type="dxa" w:w="1700"/>
            <w:shd w:fill="F1F8E9" w:color="auto" w:val="clear"/>
            <w:tcMar>
              <w:top w:type="dxa" w:w="70"/>
              <w:left w:type="dxa" w:w="110"/>
              <w:bottom w:type="dxa" w:w="70"/>
              <w:right w:type="dxa" w:w="110"/>
            </w:tcMar>
          </w:tcPr>
          <w:p>
            <w:pPr>
              <w:spacing w:after="0" w:line="250"/>
            </w:pPr>
            <w:r>
              <w:rPr>
                <w:b/>
                <w:bCs/>
                <w:sz w:val="18"/>
                <w:szCs w:val="18"/>
              </w:rPr>
              <w:t xml:space="preserve">P2 — Retraining</w:t>
            </w:r>
          </w:p>
        </w:tc>
        <w:tc>
          <w:tcPr>
            <w:tcW w:type="dxa" w:w="2700"/>
            <w:tcMar>
              <w:top w:type="dxa" w:w="70"/>
              <w:left w:type="dxa" w:w="110"/>
              <w:bottom w:type="dxa" w:w="70"/>
              <w:right w:type="dxa" w:w="110"/>
            </w:tcMar>
          </w:tcPr>
          <w:p>
            <w:pPr>
              <w:spacing w:after="0" w:line="250"/>
            </w:pPr>
            <w:r>
              <w:rPr>
                <w:b w:val="false"/>
                <w:bCs w:val="false"/>
                <w:sz w:val="18"/>
                <w:szCs w:val="18"/>
              </w:rPr>
              <w:t xml:space="preserve">No retraining cadence</w:t>
            </w:r>
          </w:p>
        </w:tc>
        <w:tc>
          <w:tcPr>
            <w:tcW w:type="dxa" w:w="4540"/>
            <w:tcMar>
              <w:top w:type="dxa" w:w="70"/>
              <w:left w:type="dxa" w:w="110"/>
              <w:bottom w:type="dxa" w:w="70"/>
              <w:right w:type="dxa" w:w="110"/>
            </w:tcMar>
          </w:tcPr>
          <w:p>
            <w:pPr>
              <w:spacing w:after="0" w:line="250"/>
            </w:pPr>
            <w:r>
              <w:rPr>
                <w:b w:val="false"/>
                <w:bCs w:val="false"/>
                <w:sz w:val="18"/>
                <w:szCs w:val="18"/>
              </w:rPr>
              <w:t xml:space="preserve">Define quarterly retraining with a champion/challenger gate on AUC-PR and calibration error, not AUC-ROC alone</w:t>
            </w:r>
          </w:p>
        </w:tc>
        <w:tc>
          <w:tcPr>
            <w:tcW w:type="dxa" w:w="900"/>
            <w:tcMar>
              <w:top w:type="dxa" w:w="70"/>
              <w:left w:type="dxa" w:w="110"/>
              <w:bottom w:type="dxa" w:w="70"/>
              <w:right w:type="dxa" w:w="110"/>
            </w:tcMar>
          </w:tcPr>
          <w:p>
            <w:pPr>
              <w:spacing w:after="0" w:line="250"/>
            </w:pPr>
            <w:r>
              <w:rPr>
                <w:b/>
                <w:bCs/>
                <w:sz w:val="18"/>
                <w:szCs w:val="18"/>
              </w:rPr>
              <w:t xml:space="preserve">M</w:t>
            </w:r>
          </w:p>
        </w:tc>
      </w:tr>
      <w:tr>
        <w:tc>
          <w:tcPr>
            <w:tcW w:type="dxa" w:w="1700"/>
            <w:shd w:fill="F1F8E9" w:color="auto" w:val="clear"/>
            <w:tcMar>
              <w:top w:type="dxa" w:w="70"/>
              <w:left w:type="dxa" w:w="110"/>
              <w:bottom w:type="dxa" w:w="70"/>
              <w:right w:type="dxa" w:w="110"/>
            </w:tcMar>
          </w:tcPr>
          <w:p>
            <w:pPr>
              <w:spacing w:after="0" w:line="250"/>
            </w:pPr>
            <w:r>
              <w:rPr>
                <w:b/>
                <w:bCs/>
                <w:sz w:val="18"/>
                <w:szCs w:val="18"/>
              </w:rPr>
              <w:t xml:space="preserve">P2 — Drift</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No prediction or feature drift tracking</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Log scoring distributions and compute PSI per feature against the training reference, alerting above 0.2</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M</w:t>
            </w:r>
          </w:p>
        </w:tc>
      </w:tr>
      <w:tr>
        <w:tc>
          <w:tcPr>
            <w:tcW w:type="dxa" w:w="1700"/>
            <w:shd w:fill="F1F8E9" w:color="auto" w:val="clear"/>
            <w:tcMar>
              <w:top w:type="dxa" w:w="70"/>
              <w:left w:type="dxa" w:w="110"/>
              <w:bottom w:type="dxa" w:w="70"/>
              <w:right w:type="dxa" w:w="110"/>
            </w:tcMar>
          </w:tcPr>
          <w:p>
            <w:pPr>
              <w:spacing w:after="0" w:line="250"/>
            </w:pPr>
            <w:r>
              <w:rPr>
                <w:b/>
                <w:bCs/>
                <w:sz w:val="18"/>
                <w:szCs w:val="18"/>
              </w:rPr>
              <w:t xml:space="preserve">P2 — Operations</w:t>
            </w:r>
          </w:p>
        </w:tc>
        <w:tc>
          <w:tcPr>
            <w:tcW w:type="dxa" w:w="2700"/>
            <w:tcMar>
              <w:top w:type="dxa" w:w="70"/>
              <w:left w:type="dxa" w:w="110"/>
              <w:bottom w:type="dxa" w:w="70"/>
              <w:right w:type="dxa" w:w="110"/>
            </w:tcMar>
          </w:tcPr>
          <w:p>
            <w:pPr>
              <w:spacing w:after="0" w:line="250"/>
            </w:pPr>
            <w:r>
              <w:rPr>
                <w:b w:val="false"/>
                <w:bCs w:val="false"/>
                <w:sz w:val="18"/>
                <w:szCs w:val="18"/>
              </w:rPr>
              <w:t xml:space="preserve">No SLO on the dashboard</w:t>
            </w:r>
          </w:p>
        </w:tc>
        <w:tc>
          <w:tcPr>
            <w:tcW w:type="dxa" w:w="4540"/>
            <w:tcMar>
              <w:top w:type="dxa" w:w="70"/>
              <w:left w:type="dxa" w:w="110"/>
              <w:bottom w:type="dxa" w:w="70"/>
              <w:right w:type="dxa" w:w="110"/>
            </w:tcMar>
          </w:tcPr>
          <w:p>
            <w:pPr>
              <w:spacing w:after="0" w:line="250"/>
            </w:pPr>
            <w:r>
              <w:rPr>
                <w:b w:val="false"/>
                <w:bCs w:val="false"/>
                <w:sz w:val="18"/>
                <w:szCs w:val="18"/>
              </w:rPr>
              <w:t xml:space="preserve">Set an availability and latency target and wire Cloud Run alerting</w:t>
            </w:r>
          </w:p>
        </w:tc>
        <w:tc>
          <w:tcPr>
            <w:tcW w:type="dxa" w:w="900"/>
            <w:tcMar>
              <w:top w:type="dxa" w:w="70"/>
              <w:left w:type="dxa" w:w="110"/>
              <w:bottom w:type="dxa" w:w="70"/>
              <w:right w:type="dxa" w:w="110"/>
            </w:tcMar>
          </w:tcPr>
          <w:p>
            <w:pPr>
              <w:spacing w:after="0" w:line="250"/>
            </w:pPr>
            <w:r>
              <w:rPr>
                <w:b/>
                <w:bCs/>
                <w:sz w:val="18"/>
                <w:szCs w:val="18"/>
              </w:rPr>
              <w:t xml:space="preserve">S</w:t>
            </w:r>
          </w:p>
        </w:tc>
      </w:tr>
    </w:tbl>
    <w:p>
      <w:pPr>
        <w:pStyle w:val="Heading1"/>
      </w:pPr>
      <w:r>
        <w:t xml:space="preserve">11. Open Questions</w:t>
      </w:r>
    </w:p>
    <w:p>
      <w:pPr>
        <w:pStyle w:val="ListParagraph"/>
        <w:numPr>
          <w:ilvl w:val="0"/>
          <w:numId w:val="2"/>
        </w:numPr>
        <w:spacing w:after="100"/>
      </w:pPr>
      <w:r>
        <w:t xml:space="preserve">Would a calibrated XGBoost pipeline match the H2O ensemble closely enough to drop the JVM dependency and make real-time serving practical?</w:t>
      </w:r>
    </w:p>
    <w:p>
      <w:pPr>
        <w:pStyle w:val="ListParagraph"/>
        <w:numPr>
          <w:ilvl w:val="0"/>
          <w:numId w:val="2"/>
        </w:numPr>
        <w:spacing w:after="100"/>
      </w:pPr>
      <w:r>
        <w:t xml:space="preserve">The corrected add-on effect is −5.8pp with 87% probability of ≥5% reduction. Is that enough certainty to fund a rollout, or does it warrant the experiment first?</w:t>
      </w:r>
    </w:p>
    <w:p>
      <w:pPr>
        <w:pStyle w:val="ListParagraph"/>
        <w:numPr>
          <w:ilvl w:val="0"/>
          <w:numId w:val="2"/>
        </w:numPr>
        <w:spacing w:after="100"/>
      </w:pPr>
      <w:r>
        <w:t xml:space="preserve">How much of the 93.4% AUC comes from features that are unavailable at decision time in a real deployment?</w:t>
      </w:r>
    </w:p>
    <w:p>
      <w:pPr>
        <w:pStyle w:val="Heading1"/>
      </w:pPr>
      <w:r>
        <w:t xml:space="preserve">12. References</w:t>
      </w:r>
    </w:p>
    <w:p>
      <w:pPr>
        <w:pStyle w:val="ListParagraph"/>
        <w:numPr>
          <w:ilvl w:val="0"/>
          <w:numId w:val="2"/>
        </w:numPr>
        <w:spacing w:after="100"/>
      </w:pPr>
      <w:r>
        <w:t xml:space="preserve">model_cards/model_card.docx · data_cards/data_card.docx</w:t>
      </w:r>
    </w:p>
    <w:p>
      <w:pPr>
        <w:pStyle w:val="ListParagraph"/>
        <w:numPr>
          <w:ilvl w:val="0"/>
          <w:numId w:val="2"/>
        </w:numPr>
        <w:spacing w:after="100"/>
      </w:pPr>
      <w:r>
        <w:t xml:space="preserve">Design_documents/ — Bayesian_Experimental_Design_Final.md, bayesian_ab_test_design.md</w:t>
      </w:r>
    </w:p>
    <w:p>
      <w:pPr>
        <w:pStyle w:val="ListParagraph"/>
        <w:numPr>
          <w:ilvl w:val="0"/>
          <w:numId w:val="2"/>
        </w:numPr>
        <w:spacing w:after="100"/>
      </w:pPr>
      <w:r>
        <w:t xml:space="preserve">Phase_5_Depolyment guide/DEPLOYMENT.md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Telco Customer Churn — Prediction, Causal Validation, and Experimentation — ML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3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pPr>
    <w:rPr>
      <w:b/>
      <w:bCs/>
      <w:color w:val="1F4E79"/>
      <w:sz w:val="48"/>
      <w:szCs w:val="48"/>
    </w:rPr>
  </w:style>
  <w:style w:type="paragraph" w:styleId="Heading1">
    <w:name w:val="Heading 1"/>
    <w:basedOn w:val="Normal"/>
    <w:next w:val="Normal"/>
    <w:qFormat/>
    <w:pPr>
      <w:pBdr>
        <w:bottom w:val="single" w:color="D0D7DE" w:sz="8" w:space="6"/>
      </w:pBdr>
      <w:spacing w:after="150" w:before="380"/>
    </w:pPr>
    <w:rPr>
      <w:b/>
      <w:bCs/>
      <w:color w:val="1F4E79"/>
      <w:sz w:val="30"/>
      <w:szCs w:val="30"/>
    </w:rPr>
  </w:style>
  <w:style w:type="paragraph" w:styleId="Heading2">
    <w:name w:val="Heading 2"/>
    <w:basedOn w:val="Normal"/>
    <w:next w:val="Normal"/>
    <w:qFormat/>
    <w:pPr>
      <w:spacing w:after="100" w:before="240"/>
    </w:pPr>
    <w:rPr>
      <w:b/>
      <w:bCs/>
      <w:color w:val="2F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2026-08-02T02:06:27.636Z</dcterms:created>
  <dcterms:modified xsi:type="dcterms:W3CDTF">2026-08-02T02:06:27.636Z</dcterms:modified>
</cp:coreProperties>
</file>

<file path=docProps/custom.xml><?xml version="1.0" encoding="utf-8"?>
<Properties xmlns="http://schemas.openxmlformats.org/officeDocument/2006/custom-properties" xmlns:vt="http://schemas.openxmlformats.org/officeDocument/2006/docPropsVTypes"/>
</file>