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 Card</w:t>
      </w:r>
    </w:p>
    <w:p>
      <w:pPr>
        <w:spacing w:after="60"/>
      </w:pPr>
      <w:r>
        <w:rPr>
          <w:b/>
          <w:bCs/>
          <w:sz w:val="26"/>
          <w:szCs w:val="26"/>
        </w:rPr>
        <w:t xml:space="preserve">Telco Customer Churn — H2O AutoML Ensemble with Bayesian Causal Validation</w:t>
      </w:r>
    </w:p>
    <w:p>
      <w:pPr>
        <w:pBdr>
          <w:bottom w:val="single" w:color="1F4E79" w:sz="8" w:space="8"/>
        </w:pBdr>
        <w:spacing w:after="300"/>
      </w:pPr>
      <w:r>
        <w:rPr>
          <w:color w:val="595959"/>
          <w:sz w:val="19"/>
          <w:szCs w:val="19"/>
        </w:rPr>
        <w:t xml:space="preserve">Repository: Customer_Churn_Analysis   ·   Version 1.0.0   ·   MIT</w:t>
      </w:r>
    </w:p>
    <w:p>
      <w:pPr>
        <w:pStyle w:val="Heading1"/>
      </w:pPr>
      <w:r>
        <w:t xml:space="preserve">Model Details</w:t>
      </w:r>
    </w:p>
    <w:p>
      <w:pPr>
        <w:pStyle w:val="Heading2"/>
      </w:pPr>
      <w:r>
        <w:t xml:space="preserve">Overview</w:t>
      </w:r>
    </w:p>
    <w:p>
      <w:r>
        <w:t xml:space="preserve">A five-phase pipeline on 7,043 Telco customers x 21 features: PySpark EDA and H2O AutoML prediction, Bayesian causal validation with an explicit collider-bias correction, power-analyzed experimental design, a hierarchical Bayesian A/B testing engine with sequential monitoring, and Docker/GCP Cloud Run deployment. Baseline churn is 26.5%, representing $1.53M of lifetime value at risk.</w:t>
      </w:r>
    </w:p>
    <w:p>
      <w:pPr>
        <w:pStyle w:val="Heading2"/>
      </w:pPr>
      <w:r>
        <w:t xml:space="preserve">Owners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Ella Ndalla — ndallaella@gmail.com</w:t>
      </w:r>
    </w:p>
    <w:p>
      <w:pPr>
        <w:pStyle w:val="Heading2"/>
      </w:pPr>
      <w:r>
        <w:t xml:space="preserve">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Dataset: Kaggle Telco Customer Churn (7,043 customers x 21 features) (https://www.kaggle.com/datasets/blastchar/telco-customer-churn) — Sensitive data: Contains customer demographic attributes — SeniorCitizen, Gender, Partner, Dependents — which are used as pre-treatment adjustment variables in the causal model and are also present in the predictive feature set.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pr_2xg0mxkl0cm28vnlrv">
        <w:r>
          <w:rPr>
            <w:rStyle w:val="Hyperlink"/>
            <w:color w:val="0563C1"/>
            <w:u w:val="single"/>
          </w:rPr>
          <w:t xml:space="preserve">https://www.kaggle.com/datasets/blastchar/telco-customer-churn</w:t>
        </w:r>
      </w:hyperlink>
    </w:p>
    <w:p>
      <w:pPr>
        <w:pStyle w:val="Heading1"/>
      </w:pPr>
      <w:r>
        <w:t xml:space="preserve">Considerations</w:t>
      </w:r>
    </w:p>
    <w:p>
      <w:pPr>
        <w:pStyle w:val="Heading2"/>
      </w:pPr>
      <w:r>
        <w:t xml:space="preserve">Intended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Retention / CRM teams (illustrative)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scientists studying causal ML workflows</w:t>
      </w:r>
    </w:p>
    <w:p>
      <w:pPr>
        <w:pStyle w:val="Heading2"/>
      </w:pPr>
      <w:r>
        <w:t xml:space="preserve">Use Cases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Predicting churn risk to prioritize retention outreach.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Estimating the causal effect of service add-on bundles on churn.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Designing and sequentially monitoring randomized retention experiments.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Predictive accuracy does not imply causal validity — the 93.4% AUC ensemble is not a guide to which interventions will work.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corrected causal model conditions ONLY on exogenous pre-treatment demographics (SeniorCitizen, Dependents, Partner, Gender). Tenure is a collider, contract type and payment method are other treatments, and charges are mediators — all are deliberately excluded, and observational limits remain even after correction.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strongest signal found (+52pp churn in the first 40 days) is NOT causally identified and requires a randomized experiment before acting on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Static 2018-era Kaggle snapshot from one telco; no temporal validation or drift testing against live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SMOTE oversampling can distort predicted probability calibration.</w:t>
      </w:r>
    </w:p>
    <w:p>
      <w:pPr>
        <w:pStyle w:val="Heading2"/>
      </w:pPr>
      <w:r>
        <w:t xml:space="preserve">Tradeoffs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H2O stacked ensemble is markedly more accurate than the PySpark decision tree (93.4% vs 72.0% AUC) at the cost of interpretability and heavier serving infrastructure.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 recall on churners (~90.5%) with ~78% precision means a meaningful share of retention spend goes to customers who would have stayed.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Correcting collider bias moves the add-on effect from -0.2pp to -5.8pp — the methodologically correct estimate is far larger, and the naive one would have led to abandoning a working lever.</w:t>
      </w:r>
    </w:p>
    <w:p>
      <w:pPr>
        <w:pStyle w:val="Heading2"/>
      </w:pPr>
      <w:r>
        <w:t xml:space="preserve">Ethical Considerations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Demographic features (gender, senior citizen status, dependents, partner) sit in both the prediction and adjustment sets, so retention offers scored by this model could distribute unevenly across protected groups.</w:t>
      </w:r>
      <w:r>
        <w:rPr>
          <w:b/>
          <w:bCs/>
          <w:color w:val="1F4E79"/>
        </w:rPr>
        <w:br/>
        <w:t xml:space="preserve">  Mitigation: </w:t>
      </w:r>
      <w:r>
        <w:t xml:space="preserve">Demographics are used as backdoor-criterion adjustment variables rather than targeting rules; the project culminates in randomized experiments with stratified randomization rather than model-score-driven rollout.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Collider bias silently inverting the estimated effect direction.</w:t>
      </w:r>
      <w:r>
        <w:rPr>
          <w:b/>
          <w:bCs/>
          <w:color w:val="1F4E79"/>
        </w:rPr>
        <w:br/>
        <w:t xml:space="preserve">  Mitigation: </w:t>
      </w:r>
      <w:r>
        <w:t xml:space="preserve">Collider bias was detected and empirically confirmed via stratification reversal; the corrected specification is the documented centerpiece of the project.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 w:val="false"/>
          <w:bCs w:val="false"/>
        </w:rPr>
        <w:t xml:space="preserve">Acting on the strong early-tenure correlation without identification.</w:t>
      </w:r>
      <w:r>
        <w:rPr>
          <w:b/>
          <w:bCs/>
          <w:color w:val="1F4E79"/>
        </w:rPr>
        <w:br/>
        <w:t xml:space="preserve">  Mitigation: </w:t>
      </w:r>
      <w:r>
        <w:t xml:space="preserve">Explicitly flagged as 'requires experiment'; three prioritized randomized tests were designed at 95% Bayesian power with ROPE-based stopping rules.</w:t>
      </w:r>
    </w:p>
    <w:p>
      <w:pPr>
        <w:pStyle w:val="Heading1"/>
      </w:pPr>
      <w:r>
        <w:t xml:space="preserve">Quantitative Analysis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2"/>
          <w:insideV w:val="single" w:color="D0D7DE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EEF3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AUC-ROC (H2O Stacked Ensemble)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93.4%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AUC-PR (H2O Stacked Ensemble)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96.72%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 on churners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~90.5%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Precision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AUC-ROC (PySpark Decision Tree baseline)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72.0%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AUC-PR (PySpark Decision Tree baseline)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52.6%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Baseline churn rate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26.5%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Causal effect of service add-on bundle (corrected)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-5.8pp, 95% CI [-8.2%, -3.4%]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P(add-ons reduce churn by 5%+)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87%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Naive (collider-biased) add-on effect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-0.2pp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Early tenure &lt;=40 days (correlational)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+52pp — requires experiment</w:t>
            </w:r>
          </w:p>
        </w:tc>
      </w:tr>
      <w:tr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Experiment design power</w:t>
            </w:r>
          </w:p>
        </w:tc>
        <w:tc>
          <w:tcPr>
            <w:tcW w:type="dxa" w:w="4680"/>
            <w:shd w:fill="F7F9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95% Bayesian power, 3 prioritized tests</w:t>
            </w:r>
          </w:p>
        </w:tc>
      </w:tr>
    </w:tbl>
    <w:p>
      <w:pPr>
        <w:pStyle w:val="Heading1"/>
      </w:pPr>
      <w:r>
        <w:t xml:space="preserve">Citation</w:t>
      </w:r>
    </w:p>
    <w:p>
      <w:r>
        <w:rPr>
          <w:i/>
          <w:iCs/>
        </w:rPr>
        <w:t xml:space="preserve">Ella Ndalla. Telco Customer Churn — H2O AutoML Ensemble with Bayesian Causal Validation. GitHub repository: Customer_Churn_Analysis.</w:t>
      </w:r>
    </w:p>
    <w:p>
      <w:pPr>
        <w:pBdr>
          <w:top w:val="single" w:color="D0D7DE" w:sz="4" w:space="8"/>
        </w:pBdr>
        <w:spacing w:before="400"/>
      </w:pPr>
      <w:r>
        <w:rPr>
          <w:i/>
          <w:iCs/>
          <w:color w:val="595959"/>
          <w:sz w:val="17"/>
          <w:szCs w:val="17"/>
        </w:rPr>
        <w:t xml:space="preserve">Generated with the TensorFlow Model Card Toolkit (v2.0.0) from Customer_Churn_Analysis/model_cards/data/model_card.json.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D0D7DE" w:sz="6" w:space="6"/>
      </w:pBdr>
      <w:spacing w:after="140" w:before="36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b/>
      <w:bCs/>
      <w:color w:val="2F5F8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r_2xg0mxkl0cm28vnlrv" Type="http://schemas.openxmlformats.org/officeDocument/2006/relationships/hyperlink" Target="https://www.kaggle.com/datasets/blastchar/telco-customer-chur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2026-08-01T21:57:08.150Z</dcterms:created>
  <dcterms:modified xsi:type="dcterms:W3CDTF">2026-08-01T21:57:08.150Z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