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F8239" w14:textId="548328A2" w:rsidR="00CF2376" w:rsidRPr="00817AE2" w:rsidRDefault="00991084" w:rsidP="00991084">
      <w:pPr>
        <w:jc w:val="both"/>
        <w:rPr>
          <w:rFonts w:asciiTheme="majorBidi" w:hAnsiTheme="majorBidi" w:cstheme="majorBidi"/>
          <w:b/>
          <w:bCs/>
          <w:sz w:val="24"/>
          <w:szCs w:val="24"/>
        </w:rPr>
      </w:pPr>
      <w:r w:rsidRPr="00DD28CD">
        <w:rPr>
          <w:rFonts w:asciiTheme="majorBidi" w:hAnsiTheme="majorBidi" w:cstheme="majorBidi"/>
          <w:b/>
          <w:bCs/>
          <w:noProof/>
          <w:sz w:val="24"/>
          <w:szCs w:val="24"/>
        </w:rPr>
        <w:t>Overprescribing</w:t>
      </w:r>
      <w:r w:rsidRPr="00817AE2">
        <w:rPr>
          <w:rFonts w:asciiTheme="majorBidi" w:hAnsiTheme="majorBidi" w:cstheme="majorBidi"/>
          <w:b/>
          <w:bCs/>
          <w:sz w:val="24"/>
          <w:szCs w:val="24"/>
        </w:rPr>
        <w:t xml:space="preserve"> of opioids</w:t>
      </w:r>
    </w:p>
    <w:p w14:paraId="0B4C2491" w14:textId="1013D72A" w:rsidR="00C95A74" w:rsidRDefault="00991084" w:rsidP="00917349">
      <w:pPr>
        <w:jc w:val="both"/>
        <w:rPr>
          <w:rFonts w:asciiTheme="majorBidi" w:hAnsiTheme="majorBidi" w:cstheme="majorBidi"/>
          <w:sz w:val="24"/>
          <w:szCs w:val="24"/>
        </w:rPr>
      </w:pPr>
      <w:r w:rsidRPr="00817AE2">
        <w:rPr>
          <w:rFonts w:asciiTheme="majorBidi" w:hAnsiTheme="majorBidi" w:cstheme="majorBidi"/>
          <w:i/>
          <w:iCs/>
          <w:sz w:val="24"/>
          <w:szCs w:val="24"/>
        </w:rPr>
        <w:t xml:space="preserve">Daily </w:t>
      </w:r>
      <w:r w:rsidR="00DD28CD">
        <w:rPr>
          <w:rFonts w:asciiTheme="majorBidi" w:hAnsiTheme="majorBidi" w:cstheme="majorBidi"/>
          <w:i/>
          <w:iCs/>
          <w:noProof/>
          <w:sz w:val="24"/>
          <w:szCs w:val="24"/>
        </w:rPr>
        <w:t>D</w:t>
      </w:r>
      <w:r w:rsidRPr="00DD28CD">
        <w:rPr>
          <w:rFonts w:asciiTheme="majorBidi" w:hAnsiTheme="majorBidi" w:cstheme="majorBidi"/>
          <w:i/>
          <w:iCs/>
          <w:noProof/>
          <w:sz w:val="24"/>
          <w:szCs w:val="24"/>
        </w:rPr>
        <w:t>ose</w:t>
      </w:r>
      <w:r w:rsidRPr="00817AE2">
        <w:rPr>
          <w:rFonts w:asciiTheme="majorBidi" w:hAnsiTheme="majorBidi" w:cstheme="majorBidi"/>
          <w:sz w:val="24"/>
          <w:szCs w:val="24"/>
        </w:rPr>
        <w:t xml:space="preserve">: </w:t>
      </w:r>
    </w:p>
    <w:p w14:paraId="108875AB" w14:textId="187113EC" w:rsidR="00917349" w:rsidRPr="00817AE2" w:rsidRDefault="00991084" w:rsidP="00FE0840">
      <w:pPr>
        <w:jc w:val="both"/>
        <w:rPr>
          <w:rFonts w:asciiTheme="majorBidi" w:hAnsiTheme="majorBidi" w:cstheme="majorBidi"/>
          <w:sz w:val="24"/>
          <w:szCs w:val="24"/>
        </w:rPr>
      </w:pPr>
      <w:r w:rsidRPr="00817AE2">
        <w:rPr>
          <w:rFonts w:asciiTheme="majorBidi" w:hAnsiTheme="majorBidi" w:cstheme="majorBidi"/>
          <w:sz w:val="24"/>
          <w:szCs w:val="24"/>
        </w:rPr>
        <w:t>patients/prescriptions (us</w:t>
      </w:r>
      <w:r w:rsidR="00FE0840">
        <w:rPr>
          <w:rFonts w:asciiTheme="majorBidi" w:hAnsiTheme="majorBidi" w:cstheme="majorBidi"/>
          <w:sz w:val="24"/>
          <w:szCs w:val="24"/>
        </w:rPr>
        <w:t>ing</w:t>
      </w:r>
      <w:r w:rsidRPr="00817AE2">
        <w:rPr>
          <w:rFonts w:asciiTheme="majorBidi" w:hAnsiTheme="majorBidi" w:cstheme="majorBidi"/>
          <w:sz w:val="24"/>
          <w:szCs w:val="24"/>
        </w:rPr>
        <w:t xml:space="preserve"> </w:t>
      </w:r>
      <w:r w:rsidR="00FE0840" w:rsidRPr="00FE0840">
        <w:rPr>
          <w:rFonts w:asciiTheme="majorBidi" w:hAnsiTheme="majorBidi" w:cstheme="majorBidi"/>
          <w:sz w:val="24"/>
          <w:szCs w:val="24"/>
        </w:rPr>
        <w:t>patient IDs</w:t>
      </w:r>
      <w:r w:rsidRPr="00817AE2">
        <w:rPr>
          <w:rFonts w:asciiTheme="majorBidi" w:hAnsiTheme="majorBidi" w:cstheme="majorBidi"/>
          <w:sz w:val="24"/>
          <w:szCs w:val="24"/>
        </w:rPr>
        <w:t>) that are greater tha</w:t>
      </w:r>
      <w:r w:rsidR="00BE44C6" w:rsidRPr="00817AE2">
        <w:rPr>
          <w:rFonts w:asciiTheme="majorBidi" w:hAnsiTheme="majorBidi" w:cstheme="majorBidi"/>
          <w:sz w:val="24"/>
          <w:szCs w:val="24"/>
        </w:rPr>
        <w:t>n/to</w:t>
      </w:r>
      <w:r w:rsidRPr="00817AE2">
        <w:rPr>
          <w:rFonts w:asciiTheme="majorBidi" w:hAnsiTheme="majorBidi" w:cstheme="majorBidi"/>
          <w:sz w:val="24"/>
          <w:szCs w:val="24"/>
        </w:rPr>
        <w:t xml:space="preserve"> </w:t>
      </w:r>
      <w:r w:rsidRPr="00DD28CD">
        <w:rPr>
          <w:rFonts w:asciiTheme="majorBidi" w:hAnsiTheme="majorBidi" w:cstheme="majorBidi"/>
          <w:noProof/>
          <w:sz w:val="24"/>
          <w:szCs w:val="24"/>
        </w:rPr>
        <w:t>50</w:t>
      </w:r>
      <w:r w:rsidR="00DD28CD">
        <w:rPr>
          <w:rFonts w:asciiTheme="majorBidi" w:hAnsiTheme="majorBidi" w:cstheme="majorBidi"/>
          <w:noProof/>
          <w:sz w:val="24"/>
          <w:szCs w:val="24"/>
        </w:rPr>
        <w:t>-</w:t>
      </w:r>
      <w:r w:rsidRPr="00DD28CD">
        <w:rPr>
          <w:rFonts w:asciiTheme="majorBidi" w:hAnsiTheme="majorBidi" w:cstheme="majorBidi"/>
          <w:noProof/>
          <w:sz w:val="24"/>
          <w:szCs w:val="24"/>
        </w:rPr>
        <w:t>milligram</w:t>
      </w:r>
      <w:r w:rsidRPr="00817AE2">
        <w:rPr>
          <w:rFonts w:asciiTheme="majorBidi" w:hAnsiTheme="majorBidi" w:cstheme="majorBidi"/>
          <w:sz w:val="24"/>
          <w:szCs w:val="24"/>
        </w:rPr>
        <w:t xml:space="preserve"> milliequivalents/day as being at elevated risk of overdose, and those 90-morphine mg milliequivalents/day as being at very high risk</w:t>
      </w:r>
      <w:r w:rsidR="00917349" w:rsidRPr="00817AE2">
        <w:rPr>
          <w:rFonts w:asciiTheme="majorBidi" w:hAnsiTheme="majorBidi" w:cstheme="majorBidi"/>
          <w:sz w:val="24"/>
          <w:szCs w:val="24"/>
        </w:rPr>
        <w:t>.</w:t>
      </w:r>
    </w:p>
    <w:p w14:paraId="73DE818B" w14:textId="5FAC6510" w:rsidR="00917349" w:rsidRPr="00817AE2" w:rsidRDefault="00917349" w:rsidP="00917349">
      <w:pPr>
        <w:jc w:val="both"/>
        <w:rPr>
          <w:rFonts w:asciiTheme="majorBidi" w:hAnsiTheme="majorBidi" w:cstheme="majorBidi"/>
          <w:sz w:val="24"/>
          <w:szCs w:val="24"/>
        </w:rPr>
      </w:pPr>
      <w:r w:rsidRPr="00817AE2">
        <w:rPr>
          <w:rFonts w:asciiTheme="majorBidi" w:hAnsiTheme="majorBidi" w:cstheme="majorBidi"/>
          <w:sz w:val="24"/>
          <w:szCs w:val="24"/>
        </w:rPr>
        <w:t>Morphine milligram equivalents (MME) for opioids:</w:t>
      </w:r>
    </w:p>
    <w:tbl>
      <w:tblPr>
        <w:tblW w:w="4220" w:type="dxa"/>
        <w:shd w:val="clear" w:color="auto" w:fill="FFFFFF"/>
        <w:tblCellMar>
          <w:left w:w="0" w:type="dxa"/>
          <w:right w:w="0" w:type="dxa"/>
        </w:tblCellMar>
        <w:tblLook w:val="04A0" w:firstRow="1" w:lastRow="0" w:firstColumn="1" w:lastColumn="0" w:noHBand="0" w:noVBand="1"/>
      </w:tblPr>
      <w:tblGrid>
        <w:gridCol w:w="2417"/>
        <w:gridCol w:w="1940"/>
      </w:tblGrid>
      <w:tr w:rsidR="00917349" w:rsidRPr="00817AE2" w14:paraId="3DB62138" w14:textId="77777777" w:rsidTr="00917349">
        <w:trPr>
          <w:trHeight w:val="580"/>
        </w:trPr>
        <w:tc>
          <w:tcPr>
            <w:tcW w:w="2280" w:type="dxa"/>
            <w:tcBorders>
              <w:top w:val="single" w:sz="4" w:space="0" w:color="auto"/>
              <w:left w:val="single" w:sz="8" w:space="0" w:color="auto"/>
              <w:bottom w:val="single" w:sz="8" w:space="0" w:color="auto"/>
              <w:right w:val="nil"/>
            </w:tcBorders>
            <w:shd w:val="clear" w:color="auto" w:fill="FFFFFF"/>
            <w:noWrap/>
            <w:tcMar>
              <w:top w:w="0" w:type="dxa"/>
              <w:left w:w="108" w:type="dxa"/>
              <w:bottom w:w="0" w:type="dxa"/>
              <w:right w:w="108" w:type="dxa"/>
            </w:tcMar>
            <w:vAlign w:val="bottom"/>
            <w:hideMark/>
          </w:tcPr>
          <w:p w14:paraId="5E16CFA6" w14:textId="77777777" w:rsidR="00917349" w:rsidRPr="00817AE2" w:rsidRDefault="00917349" w:rsidP="00917349">
            <w:pPr>
              <w:jc w:val="both"/>
              <w:rPr>
                <w:rFonts w:asciiTheme="majorBidi" w:hAnsiTheme="majorBidi" w:cstheme="majorBidi"/>
                <w:sz w:val="24"/>
                <w:szCs w:val="24"/>
              </w:rPr>
            </w:pPr>
            <w:r w:rsidRPr="00817AE2">
              <w:rPr>
                <w:rFonts w:asciiTheme="majorBidi" w:hAnsiTheme="majorBidi" w:cstheme="majorBidi"/>
                <w:b/>
                <w:bCs/>
                <w:sz w:val="24"/>
                <w:szCs w:val="24"/>
              </w:rPr>
              <w:t>Drug</w:t>
            </w:r>
          </w:p>
        </w:tc>
        <w:tc>
          <w:tcPr>
            <w:tcW w:w="1940" w:type="dxa"/>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2C290BCA" w14:textId="6788EAAC" w:rsidR="00917349" w:rsidRPr="00817AE2" w:rsidRDefault="00917349" w:rsidP="00917349">
            <w:pPr>
              <w:jc w:val="both"/>
              <w:rPr>
                <w:rFonts w:asciiTheme="majorBidi" w:hAnsiTheme="majorBidi" w:cstheme="majorBidi"/>
                <w:sz w:val="24"/>
                <w:szCs w:val="24"/>
              </w:rPr>
            </w:pPr>
            <w:r w:rsidRPr="00817AE2">
              <w:rPr>
                <w:rFonts w:asciiTheme="majorBidi" w:hAnsiTheme="majorBidi" w:cstheme="majorBidi"/>
                <w:b/>
                <w:bCs/>
                <w:sz w:val="24"/>
                <w:szCs w:val="24"/>
              </w:rPr>
              <w:t>Oral conversion to get MEDD</w:t>
            </w:r>
          </w:p>
        </w:tc>
      </w:tr>
      <w:tr w:rsidR="00917349" w:rsidRPr="00817AE2" w14:paraId="6B3FE2D2" w14:textId="77777777" w:rsidTr="00917349">
        <w:trPr>
          <w:trHeight w:val="290"/>
        </w:trPr>
        <w:tc>
          <w:tcPr>
            <w:tcW w:w="2280" w:type="dxa"/>
            <w:tcBorders>
              <w:top w:val="nil"/>
              <w:left w:val="single" w:sz="8" w:space="0" w:color="auto"/>
              <w:bottom w:val="nil"/>
              <w:right w:val="nil"/>
            </w:tcBorders>
            <w:shd w:val="clear" w:color="auto" w:fill="FFFFFF"/>
            <w:noWrap/>
            <w:tcMar>
              <w:top w:w="0" w:type="dxa"/>
              <w:left w:w="108" w:type="dxa"/>
              <w:bottom w:w="0" w:type="dxa"/>
              <w:right w:w="108" w:type="dxa"/>
            </w:tcMar>
            <w:vAlign w:val="bottom"/>
            <w:hideMark/>
          </w:tcPr>
          <w:p w14:paraId="0F253D36" w14:textId="77777777" w:rsidR="00917349" w:rsidRPr="00817AE2" w:rsidRDefault="00917349" w:rsidP="00917349">
            <w:pPr>
              <w:jc w:val="both"/>
              <w:rPr>
                <w:rFonts w:asciiTheme="majorBidi" w:hAnsiTheme="majorBidi" w:cstheme="majorBidi"/>
                <w:sz w:val="24"/>
                <w:szCs w:val="24"/>
              </w:rPr>
            </w:pPr>
            <w:r w:rsidRPr="00817AE2">
              <w:rPr>
                <w:rFonts w:asciiTheme="majorBidi" w:hAnsiTheme="majorBidi" w:cstheme="majorBidi"/>
                <w:sz w:val="24"/>
                <w:szCs w:val="24"/>
              </w:rPr>
              <w:t>CODEINE</w:t>
            </w:r>
          </w:p>
        </w:tc>
        <w:tc>
          <w:tcPr>
            <w:tcW w:w="1940" w:type="dxa"/>
            <w:tcBorders>
              <w:top w:val="nil"/>
              <w:left w:val="single" w:sz="8" w:space="0" w:color="auto"/>
              <w:bottom w:val="nil"/>
              <w:right w:val="single" w:sz="8" w:space="0" w:color="auto"/>
            </w:tcBorders>
            <w:shd w:val="clear" w:color="auto" w:fill="FFFFFF"/>
            <w:tcMar>
              <w:top w:w="0" w:type="dxa"/>
              <w:left w:w="108" w:type="dxa"/>
              <w:bottom w:w="0" w:type="dxa"/>
              <w:right w:w="108" w:type="dxa"/>
            </w:tcMar>
            <w:vAlign w:val="bottom"/>
            <w:hideMark/>
          </w:tcPr>
          <w:p w14:paraId="22A9E842" w14:textId="77777777" w:rsidR="00917349" w:rsidRPr="00817AE2" w:rsidRDefault="00917349" w:rsidP="00917349">
            <w:pPr>
              <w:jc w:val="both"/>
              <w:rPr>
                <w:rFonts w:asciiTheme="majorBidi" w:hAnsiTheme="majorBidi" w:cstheme="majorBidi"/>
                <w:sz w:val="24"/>
                <w:szCs w:val="24"/>
              </w:rPr>
            </w:pPr>
            <w:r w:rsidRPr="00817AE2">
              <w:rPr>
                <w:rFonts w:asciiTheme="majorBidi" w:hAnsiTheme="majorBidi" w:cstheme="majorBidi"/>
                <w:sz w:val="24"/>
                <w:szCs w:val="24"/>
              </w:rPr>
              <w:t>0.125</w:t>
            </w:r>
          </w:p>
        </w:tc>
      </w:tr>
      <w:tr w:rsidR="00917349" w:rsidRPr="00817AE2" w14:paraId="060831DD" w14:textId="77777777" w:rsidTr="00917349">
        <w:trPr>
          <w:trHeight w:val="330"/>
        </w:trPr>
        <w:tc>
          <w:tcPr>
            <w:tcW w:w="2280" w:type="dxa"/>
            <w:tcBorders>
              <w:top w:val="nil"/>
              <w:left w:val="single" w:sz="8" w:space="0" w:color="auto"/>
              <w:bottom w:val="nil"/>
              <w:right w:val="nil"/>
            </w:tcBorders>
            <w:shd w:val="clear" w:color="auto" w:fill="FFFFFF"/>
            <w:noWrap/>
            <w:tcMar>
              <w:top w:w="0" w:type="dxa"/>
              <w:left w:w="108" w:type="dxa"/>
              <w:bottom w:w="0" w:type="dxa"/>
              <w:right w:w="108" w:type="dxa"/>
            </w:tcMar>
            <w:vAlign w:val="bottom"/>
            <w:hideMark/>
          </w:tcPr>
          <w:p w14:paraId="0CED90FF" w14:textId="77777777" w:rsidR="00917349" w:rsidRPr="00817AE2" w:rsidRDefault="00917349" w:rsidP="00917349">
            <w:pPr>
              <w:jc w:val="both"/>
              <w:rPr>
                <w:rFonts w:asciiTheme="majorBidi" w:hAnsiTheme="majorBidi" w:cstheme="majorBidi"/>
                <w:sz w:val="24"/>
                <w:szCs w:val="24"/>
              </w:rPr>
            </w:pPr>
            <w:r w:rsidRPr="003246B1">
              <w:rPr>
                <w:rFonts w:asciiTheme="majorBidi" w:hAnsiTheme="majorBidi" w:cstheme="majorBidi"/>
                <w:noProof/>
                <w:sz w:val="24"/>
                <w:szCs w:val="24"/>
              </w:rPr>
              <w:t>FENTANYL</w:t>
            </w:r>
            <w:r w:rsidRPr="003246B1">
              <w:rPr>
                <w:rFonts w:asciiTheme="majorBidi" w:hAnsiTheme="majorBidi" w:cstheme="majorBidi"/>
                <w:noProof/>
                <w:sz w:val="24"/>
                <w:szCs w:val="24"/>
                <w:vertAlign w:val="superscript"/>
              </w:rPr>
              <w:t>a</w:t>
            </w:r>
          </w:p>
        </w:tc>
        <w:tc>
          <w:tcPr>
            <w:tcW w:w="1940" w:type="dxa"/>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bottom"/>
            <w:hideMark/>
          </w:tcPr>
          <w:p w14:paraId="10E0401C" w14:textId="77777777" w:rsidR="00917349" w:rsidRPr="00817AE2" w:rsidRDefault="00917349" w:rsidP="00917349">
            <w:pPr>
              <w:jc w:val="both"/>
              <w:rPr>
                <w:rFonts w:asciiTheme="majorBidi" w:hAnsiTheme="majorBidi" w:cstheme="majorBidi"/>
                <w:sz w:val="24"/>
                <w:szCs w:val="24"/>
              </w:rPr>
            </w:pPr>
            <w:r w:rsidRPr="00817AE2">
              <w:rPr>
                <w:rFonts w:asciiTheme="majorBidi" w:hAnsiTheme="majorBidi" w:cstheme="majorBidi"/>
                <w:sz w:val="24"/>
                <w:szCs w:val="24"/>
              </w:rPr>
              <w:t>2</w:t>
            </w:r>
          </w:p>
        </w:tc>
      </w:tr>
      <w:tr w:rsidR="00917349" w:rsidRPr="00817AE2" w14:paraId="3B28B8E5" w14:textId="77777777" w:rsidTr="00917349">
        <w:trPr>
          <w:trHeight w:val="290"/>
        </w:trPr>
        <w:tc>
          <w:tcPr>
            <w:tcW w:w="2280" w:type="dxa"/>
            <w:tcBorders>
              <w:top w:val="nil"/>
              <w:left w:val="single" w:sz="8" w:space="0" w:color="auto"/>
              <w:bottom w:val="nil"/>
              <w:right w:val="nil"/>
            </w:tcBorders>
            <w:shd w:val="clear" w:color="auto" w:fill="FFFFFF"/>
            <w:noWrap/>
            <w:tcMar>
              <w:top w:w="0" w:type="dxa"/>
              <w:left w:w="108" w:type="dxa"/>
              <w:bottom w:w="0" w:type="dxa"/>
              <w:right w:w="108" w:type="dxa"/>
            </w:tcMar>
            <w:vAlign w:val="bottom"/>
            <w:hideMark/>
          </w:tcPr>
          <w:p w14:paraId="036DADE7" w14:textId="77777777" w:rsidR="00917349" w:rsidRPr="00817AE2" w:rsidRDefault="00917349" w:rsidP="00917349">
            <w:pPr>
              <w:jc w:val="both"/>
              <w:rPr>
                <w:rFonts w:asciiTheme="majorBidi" w:hAnsiTheme="majorBidi" w:cstheme="majorBidi"/>
                <w:sz w:val="24"/>
                <w:szCs w:val="24"/>
              </w:rPr>
            </w:pPr>
            <w:r w:rsidRPr="00817AE2">
              <w:rPr>
                <w:rFonts w:asciiTheme="majorBidi" w:hAnsiTheme="majorBidi" w:cstheme="majorBidi"/>
                <w:sz w:val="24"/>
                <w:szCs w:val="24"/>
              </w:rPr>
              <w:t>HYDROCODONE</w:t>
            </w:r>
          </w:p>
        </w:tc>
        <w:tc>
          <w:tcPr>
            <w:tcW w:w="1940" w:type="dxa"/>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bottom"/>
            <w:hideMark/>
          </w:tcPr>
          <w:p w14:paraId="21B51664" w14:textId="77777777" w:rsidR="00917349" w:rsidRPr="00817AE2" w:rsidRDefault="00917349" w:rsidP="00917349">
            <w:pPr>
              <w:jc w:val="both"/>
              <w:rPr>
                <w:rFonts w:asciiTheme="majorBidi" w:hAnsiTheme="majorBidi" w:cstheme="majorBidi"/>
                <w:sz w:val="24"/>
                <w:szCs w:val="24"/>
              </w:rPr>
            </w:pPr>
            <w:r w:rsidRPr="00817AE2">
              <w:rPr>
                <w:rFonts w:asciiTheme="majorBidi" w:hAnsiTheme="majorBidi" w:cstheme="majorBidi"/>
                <w:sz w:val="24"/>
                <w:szCs w:val="24"/>
              </w:rPr>
              <w:t>1</w:t>
            </w:r>
          </w:p>
        </w:tc>
      </w:tr>
      <w:tr w:rsidR="00917349" w:rsidRPr="00817AE2" w14:paraId="16A9EEA3" w14:textId="77777777" w:rsidTr="00917349">
        <w:trPr>
          <w:trHeight w:val="290"/>
        </w:trPr>
        <w:tc>
          <w:tcPr>
            <w:tcW w:w="2280" w:type="dxa"/>
            <w:tcBorders>
              <w:top w:val="nil"/>
              <w:left w:val="single" w:sz="8" w:space="0" w:color="auto"/>
              <w:bottom w:val="nil"/>
              <w:right w:val="nil"/>
            </w:tcBorders>
            <w:shd w:val="clear" w:color="auto" w:fill="FFFFFF"/>
            <w:noWrap/>
            <w:tcMar>
              <w:top w:w="0" w:type="dxa"/>
              <w:left w:w="108" w:type="dxa"/>
              <w:bottom w:w="0" w:type="dxa"/>
              <w:right w:w="108" w:type="dxa"/>
            </w:tcMar>
            <w:vAlign w:val="bottom"/>
            <w:hideMark/>
          </w:tcPr>
          <w:p w14:paraId="2449F65F" w14:textId="77777777" w:rsidR="00917349" w:rsidRPr="00817AE2" w:rsidRDefault="00917349" w:rsidP="00917349">
            <w:pPr>
              <w:jc w:val="both"/>
              <w:rPr>
                <w:rFonts w:asciiTheme="majorBidi" w:hAnsiTheme="majorBidi" w:cstheme="majorBidi"/>
                <w:sz w:val="24"/>
                <w:szCs w:val="24"/>
              </w:rPr>
            </w:pPr>
            <w:r w:rsidRPr="00817AE2">
              <w:rPr>
                <w:rFonts w:asciiTheme="majorBidi" w:hAnsiTheme="majorBidi" w:cstheme="majorBidi"/>
                <w:sz w:val="24"/>
                <w:szCs w:val="24"/>
              </w:rPr>
              <w:t>HYDROMORPHONE HCL</w:t>
            </w:r>
          </w:p>
        </w:tc>
        <w:tc>
          <w:tcPr>
            <w:tcW w:w="1940" w:type="dxa"/>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bottom"/>
            <w:hideMark/>
          </w:tcPr>
          <w:p w14:paraId="447D516F" w14:textId="77777777" w:rsidR="00917349" w:rsidRPr="00817AE2" w:rsidRDefault="00917349" w:rsidP="00917349">
            <w:pPr>
              <w:jc w:val="both"/>
              <w:rPr>
                <w:rFonts w:asciiTheme="majorBidi" w:hAnsiTheme="majorBidi" w:cstheme="majorBidi"/>
                <w:sz w:val="24"/>
                <w:szCs w:val="24"/>
              </w:rPr>
            </w:pPr>
            <w:r w:rsidRPr="00817AE2">
              <w:rPr>
                <w:rFonts w:asciiTheme="majorBidi" w:hAnsiTheme="majorBidi" w:cstheme="majorBidi"/>
                <w:sz w:val="24"/>
                <w:szCs w:val="24"/>
              </w:rPr>
              <w:t>4</w:t>
            </w:r>
          </w:p>
        </w:tc>
      </w:tr>
      <w:tr w:rsidR="00917349" w:rsidRPr="00817AE2" w14:paraId="1C08783A" w14:textId="77777777" w:rsidTr="00917349">
        <w:trPr>
          <w:trHeight w:val="290"/>
        </w:trPr>
        <w:tc>
          <w:tcPr>
            <w:tcW w:w="2280" w:type="dxa"/>
            <w:tcBorders>
              <w:top w:val="nil"/>
              <w:left w:val="single" w:sz="8" w:space="0" w:color="auto"/>
              <w:bottom w:val="nil"/>
              <w:right w:val="nil"/>
            </w:tcBorders>
            <w:shd w:val="clear" w:color="auto" w:fill="FFFFFF"/>
            <w:noWrap/>
            <w:tcMar>
              <w:top w:w="0" w:type="dxa"/>
              <w:left w:w="108" w:type="dxa"/>
              <w:bottom w:w="0" w:type="dxa"/>
              <w:right w:w="108" w:type="dxa"/>
            </w:tcMar>
            <w:vAlign w:val="bottom"/>
            <w:hideMark/>
          </w:tcPr>
          <w:p w14:paraId="1034987E" w14:textId="77777777" w:rsidR="00917349" w:rsidRPr="00817AE2" w:rsidRDefault="00917349" w:rsidP="00917349">
            <w:pPr>
              <w:jc w:val="both"/>
              <w:rPr>
                <w:rFonts w:asciiTheme="majorBidi" w:hAnsiTheme="majorBidi" w:cstheme="majorBidi"/>
                <w:sz w:val="24"/>
                <w:szCs w:val="24"/>
              </w:rPr>
            </w:pPr>
            <w:r w:rsidRPr="00817AE2">
              <w:rPr>
                <w:rFonts w:asciiTheme="majorBidi" w:hAnsiTheme="majorBidi" w:cstheme="majorBidi"/>
                <w:sz w:val="24"/>
                <w:szCs w:val="24"/>
              </w:rPr>
              <w:t>MEPERIDINE HCL</w:t>
            </w:r>
          </w:p>
        </w:tc>
        <w:tc>
          <w:tcPr>
            <w:tcW w:w="1940" w:type="dxa"/>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bottom"/>
            <w:hideMark/>
          </w:tcPr>
          <w:p w14:paraId="4CCAD2DE" w14:textId="77777777" w:rsidR="00917349" w:rsidRPr="00817AE2" w:rsidRDefault="00917349" w:rsidP="00917349">
            <w:pPr>
              <w:jc w:val="both"/>
              <w:rPr>
                <w:rFonts w:asciiTheme="majorBidi" w:hAnsiTheme="majorBidi" w:cstheme="majorBidi"/>
                <w:sz w:val="24"/>
                <w:szCs w:val="24"/>
              </w:rPr>
            </w:pPr>
            <w:r w:rsidRPr="00817AE2">
              <w:rPr>
                <w:rFonts w:asciiTheme="majorBidi" w:hAnsiTheme="majorBidi" w:cstheme="majorBidi"/>
                <w:sz w:val="24"/>
                <w:szCs w:val="24"/>
              </w:rPr>
              <w:t>0.1</w:t>
            </w:r>
          </w:p>
        </w:tc>
      </w:tr>
      <w:tr w:rsidR="00917349" w:rsidRPr="00817AE2" w14:paraId="2399B8A0" w14:textId="77777777" w:rsidTr="00917349">
        <w:trPr>
          <w:trHeight w:val="330"/>
        </w:trPr>
        <w:tc>
          <w:tcPr>
            <w:tcW w:w="2280" w:type="dxa"/>
            <w:tcBorders>
              <w:top w:val="nil"/>
              <w:left w:val="single" w:sz="8" w:space="0" w:color="auto"/>
              <w:bottom w:val="nil"/>
              <w:right w:val="nil"/>
            </w:tcBorders>
            <w:shd w:val="clear" w:color="auto" w:fill="FFFFFF"/>
            <w:noWrap/>
            <w:tcMar>
              <w:top w:w="0" w:type="dxa"/>
              <w:left w:w="108" w:type="dxa"/>
              <w:bottom w:w="0" w:type="dxa"/>
              <w:right w:w="108" w:type="dxa"/>
            </w:tcMar>
            <w:vAlign w:val="bottom"/>
            <w:hideMark/>
          </w:tcPr>
          <w:p w14:paraId="0BF8F9ED" w14:textId="77777777" w:rsidR="00917349" w:rsidRPr="00817AE2" w:rsidRDefault="00917349" w:rsidP="00917349">
            <w:pPr>
              <w:jc w:val="both"/>
              <w:rPr>
                <w:rFonts w:asciiTheme="majorBidi" w:hAnsiTheme="majorBidi" w:cstheme="majorBidi"/>
                <w:sz w:val="24"/>
                <w:szCs w:val="24"/>
              </w:rPr>
            </w:pPr>
            <w:r w:rsidRPr="00817AE2">
              <w:rPr>
                <w:rFonts w:asciiTheme="majorBidi" w:hAnsiTheme="majorBidi" w:cstheme="majorBidi"/>
                <w:sz w:val="24"/>
                <w:szCs w:val="24"/>
              </w:rPr>
              <w:t>METHADONE HCL</w:t>
            </w:r>
          </w:p>
        </w:tc>
        <w:tc>
          <w:tcPr>
            <w:tcW w:w="1940" w:type="dxa"/>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bottom"/>
            <w:hideMark/>
          </w:tcPr>
          <w:p w14:paraId="6998BD0E" w14:textId="77777777" w:rsidR="00917349" w:rsidRPr="00817AE2" w:rsidRDefault="00917349" w:rsidP="00917349">
            <w:pPr>
              <w:jc w:val="both"/>
              <w:rPr>
                <w:rFonts w:asciiTheme="majorBidi" w:hAnsiTheme="majorBidi" w:cstheme="majorBidi"/>
                <w:sz w:val="24"/>
                <w:szCs w:val="24"/>
              </w:rPr>
            </w:pPr>
            <w:r w:rsidRPr="00817AE2">
              <w:rPr>
                <w:rFonts w:asciiTheme="majorBidi" w:hAnsiTheme="majorBidi" w:cstheme="majorBidi"/>
                <w:sz w:val="24"/>
                <w:szCs w:val="24"/>
              </w:rPr>
              <w:t>4</w:t>
            </w:r>
            <w:r w:rsidRPr="00817AE2">
              <w:rPr>
                <w:rFonts w:asciiTheme="majorBidi" w:hAnsiTheme="majorBidi" w:cstheme="majorBidi"/>
                <w:sz w:val="24"/>
                <w:szCs w:val="24"/>
                <w:vertAlign w:val="superscript"/>
              </w:rPr>
              <w:t>b</w:t>
            </w:r>
          </w:p>
        </w:tc>
      </w:tr>
      <w:tr w:rsidR="00917349" w:rsidRPr="00817AE2" w14:paraId="19816CE4" w14:textId="77777777" w:rsidTr="00917349">
        <w:trPr>
          <w:trHeight w:val="290"/>
        </w:trPr>
        <w:tc>
          <w:tcPr>
            <w:tcW w:w="2280" w:type="dxa"/>
            <w:tcBorders>
              <w:top w:val="nil"/>
              <w:left w:val="single" w:sz="8" w:space="0" w:color="auto"/>
              <w:bottom w:val="nil"/>
              <w:right w:val="nil"/>
            </w:tcBorders>
            <w:shd w:val="clear" w:color="auto" w:fill="FFFFFF"/>
            <w:noWrap/>
            <w:tcMar>
              <w:top w:w="0" w:type="dxa"/>
              <w:left w:w="108" w:type="dxa"/>
              <w:bottom w:w="0" w:type="dxa"/>
              <w:right w:w="108" w:type="dxa"/>
            </w:tcMar>
            <w:vAlign w:val="bottom"/>
            <w:hideMark/>
          </w:tcPr>
          <w:p w14:paraId="5B4C933D" w14:textId="77777777" w:rsidR="00917349" w:rsidRPr="00817AE2" w:rsidRDefault="00917349" w:rsidP="00917349">
            <w:pPr>
              <w:jc w:val="both"/>
              <w:rPr>
                <w:rFonts w:asciiTheme="majorBidi" w:hAnsiTheme="majorBidi" w:cstheme="majorBidi"/>
                <w:sz w:val="24"/>
                <w:szCs w:val="24"/>
              </w:rPr>
            </w:pPr>
            <w:r w:rsidRPr="00817AE2">
              <w:rPr>
                <w:rFonts w:asciiTheme="majorBidi" w:hAnsiTheme="majorBidi" w:cstheme="majorBidi"/>
                <w:sz w:val="24"/>
                <w:szCs w:val="24"/>
              </w:rPr>
              <w:t>MORPHINE SULFATE</w:t>
            </w:r>
          </w:p>
        </w:tc>
        <w:tc>
          <w:tcPr>
            <w:tcW w:w="1940" w:type="dxa"/>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bottom"/>
            <w:hideMark/>
          </w:tcPr>
          <w:p w14:paraId="23B95F15" w14:textId="77777777" w:rsidR="00917349" w:rsidRPr="00817AE2" w:rsidRDefault="00917349" w:rsidP="00917349">
            <w:pPr>
              <w:jc w:val="both"/>
              <w:rPr>
                <w:rFonts w:asciiTheme="majorBidi" w:hAnsiTheme="majorBidi" w:cstheme="majorBidi"/>
                <w:sz w:val="24"/>
                <w:szCs w:val="24"/>
              </w:rPr>
            </w:pPr>
            <w:r w:rsidRPr="00817AE2">
              <w:rPr>
                <w:rFonts w:asciiTheme="majorBidi" w:hAnsiTheme="majorBidi" w:cstheme="majorBidi"/>
                <w:sz w:val="24"/>
                <w:szCs w:val="24"/>
              </w:rPr>
              <w:t>1</w:t>
            </w:r>
          </w:p>
        </w:tc>
      </w:tr>
      <w:tr w:rsidR="00917349" w:rsidRPr="00817AE2" w14:paraId="76B04D8B" w14:textId="77777777" w:rsidTr="00917349">
        <w:trPr>
          <w:trHeight w:val="290"/>
        </w:trPr>
        <w:tc>
          <w:tcPr>
            <w:tcW w:w="2280" w:type="dxa"/>
            <w:tcBorders>
              <w:top w:val="nil"/>
              <w:left w:val="single" w:sz="8" w:space="0" w:color="auto"/>
              <w:bottom w:val="nil"/>
              <w:right w:val="nil"/>
            </w:tcBorders>
            <w:shd w:val="clear" w:color="auto" w:fill="FFFFFF"/>
            <w:noWrap/>
            <w:tcMar>
              <w:top w:w="0" w:type="dxa"/>
              <w:left w:w="108" w:type="dxa"/>
              <w:bottom w:w="0" w:type="dxa"/>
              <w:right w:w="108" w:type="dxa"/>
            </w:tcMar>
            <w:vAlign w:val="bottom"/>
            <w:hideMark/>
          </w:tcPr>
          <w:p w14:paraId="153B2C84" w14:textId="77777777" w:rsidR="00917349" w:rsidRPr="00817AE2" w:rsidRDefault="00917349" w:rsidP="00917349">
            <w:pPr>
              <w:jc w:val="both"/>
              <w:rPr>
                <w:rFonts w:asciiTheme="majorBidi" w:hAnsiTheme="majorBidi" w:cstheme="majorBidi"/>
                <w:sz w:val="24"/>
                <w:szCs w:val="24"/>
              </w:rPr>
            </w:pPr>
            <w:r w:rsidRPr="00817AE2">
              <w:rPr>
                <w:rFonts w:asciiTheme="majorBidi" w:hAnsiTheme="majorBidi" w:cstheme="majorBidi"/>
                <w:sz w:val="24"/>
                <w:szCs w:val="24"/>
              </w:rPr>
              <w:t>OXYCODONE HCL</w:t>
            </w:r>
          </w:p>
        </w:tc>
        <w:tc>
          <w:tcPr>
            <w:tcW w:w="1940" w:type="dxa"/>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bottom"/>
            <w:hideMark/>
          </w:tcPr>
          <w:p w14:paraId="1A277496" w14:textId="77777777" w:rsidR="00917349" w:rsidRPr="00817AE2" w:rsidRDefault="00917349" w:rsidP="00917349">
            <w:pPr>
              <w:jc w:val="both"/>
              <w:rPr>
                <w:rFonts w:asciiTheme="majorBidi" w:hAnsiTheme="majorBidi" w:cstheme="majorBidi"/>
                <w:sz w:val="24"/>
                <w:szCs w:val="24"/>
              </w:rPr>
            </w:pPr>
            <w:r w:rsidRPr="00817AE2">
              <w:rPr>
                <w:rFonts w:asciiTheme="majorBidi" w:hAnsiTheme="majorBidi" w:cstheme="majorBidi"/>
                <w:sz w:val="24"/>
                <w:szCs w:val="24"/>
              </w:rPr>
              <w:t>1.5</w:t>
            </w:r>
          </w:p>
        </w:tc>
      </w:tr>
      <w:tr w:rsidR="00917349" w:rsidRPr="00817AE2" w14:paraId="547CF95A" w14:textId="77777777" w:rsidTr="00917349">
        <w:trPr>
          <w:trHeight w:val="220"/>
        </w:trPr>
        <w:tc>
          <w:tcPr>
            <w:tcW w:w="2280" w:type="dxa"/>
            <w:tcBorders>
              <w:top w:val="nil"/>
              <w:left w:val="single" w:sz="8" w:space="0" w:color="auto"/>
              <w:bottom w:val="nil"/>
              <w:right w:val="nil"/>
            </w:tcBorders>
            <w:shd w:val="clear" w:color="auto" w:fill="FFFFFF"/>
            <w:noWrap/>
            <w:tcMar>
              <w:top w:w="0" w:type="dxa"/>
              <w:left w:w="108" w:type="dxa"/>
              <w:bottom w:w="0" w:type="dxa"/>
              <w:right w:w="108" w:type="dxa"/>
            </w:tcMar>
            <w:vAlign w:val="bottom"/>
            <w:hideMark/>
          </w:tcPr>
          <w:p w14:paraId="649BD065" w14:textId="77777777" w:rsidR="00917349" w:rsidRPr="00817AE2" w:rsidRDefault="00917349" w:rsidP="00917349">
            <w:pPr>
              <w:jc w:val="both"/>
              <w:rPr>
                <w:rFonts w:asciiTheme="majorBidi" w:hAnsiTheme="majorBidi" w:cstheme="majorBidi"/>
                <w:sz w:val="24"/>
                <w:szCs w:val="24"/>
              </w:rPr>
            </w:pPr>
            <w:r w:rsidRPr="00817AE2">
              <w:rPr>
                <w:rFonts w:asciiTheme="majorBidi" w:hAnsiTheme="majorBidi" w:cstheme="majorBidi"/>
                <w:sz w:val="24"/>
                <w:szCs w:val="24"/>
              </w:rPr>
              <w:t>OXYMORPHONE HCL</w:t>
            </w:r>
          </w:p>
        </w:tc>
        <w:tc>
          <w:tcPr>
            <w:tcW w:w="1940" w:type="dxa"/>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bottom"/>
            <w:hideMark/>
          </w:tcPr>
          <w:p w14:paraId="4896991E" w14:textId="77777777" w:rsidR="00917349" w:rsidRPr="00817AE2" w:rsidRDefault="00917349" w:rsidP="00917349">
            <w:pPr>
              <w:jc w:val="both"/>
              <w:rPr>
                <w:rFonts w:asciiTheme="majorBidi" w:hAnsiTheme="majorBidi" w:cstheme="majorBidi"/>
                <w:sz w:val="24"/>
                <w:szCs w:val="24"/>
              </w:rPr>
            </w:pPr>
            <w:r w:rsidRPr="00817AE2">
              <w:rPr>
                <w:rFonts w:asciiTheme="majorBidi" w:hAnsiTheme="majorBidi" w:cstheme="majorBidi"/>
                <w:sz w:val="24"/>
                <w:szCs w:val="24"/>
              </w:rPr>
              <w:t>3</w:t>
            </w:r>
          </w:p>
        </w:tc>
      </w:tr>
      <w:tr w:rsidR="00917349" w:rsidRPr="00817AE2" w14:paraId="645517B8" w14:textId="77777777" w:rsidTr="00917349">
        <w:trPr>
          <w:trHeight w:val="290"/>
        </w:trPr>
        <w:tc>
          <w:tcPr>
            <w:tcW w:w="2280" w:type="dxa"/>
            <w:tcBorders>
              <w:top w:val="nil"/>
              <w:left w:val="single" w:sz="8" w:space="0" w:color="auto"/>
              <w:bottom w:val="nil"/>
              <w:right w:val="nil"/>
            </w:tcBorders>
            <w:shd w:val="clear" w:color="auto" w:fill="FFFFFF"/>
            <w:noWrap/>
            <w:tcMar>
              <w:top w:w="0" w:type="dxa"/>
              <w:left w:w="108" w:type="dxa"/>
              <w:bottom w:w="0" w:type="dxa"/>
              <w:right w:w="108" w:type="dxa"/>
            </w:tcMar>
            <w:vAlign w:val="bottom"/>
            <w:hideMark/>
          </w:tcPr>
          <w:p w14:paraId="5976C949" w14:textId="77777777" w:rsidR="00917349" w:rsidRPr="00817AE2" w:rsidRDefault="00917349" w:rsidP="00917349">
            <w:pPr>
              <w:jc w:val="both"/>
              <w:rPr>
                <w:rFonts w:asciiTheme="majorBidi" w:hAnsiTheme="majorBidi" w:cstheme="majorBidi"/>
                <w:sz w:val="24"/>
                <w:szCs w:val="24"/>
              </w:rPr>
            </w:pPr>
            <w:r w:rsidRPr="00817AE2">
              <w:rPr>
                <w:rFonts w:asciiTheme="majorBidi" w:hAnsiTheme="majorBidi" w:cstheme="majorBidi"/>
                <w:sz w:val="24"/>
                <w:szCs w:val="24"/>
              </w:rPr>
              <w:t>PROPOXYPHENE</w:t>
            </w:r>
          </w:p>
        </w:tc>
        <w:tc>
          <w:tcPr>
            <w:tcW w:w="1940" w:type="dxa"/>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bottom"/>
            <w:hideMark/>
          </w:tcPr>
          <w:p w14:paraId="3D14DC52" w14:textId="77777777" w:rsidR="00917349" w:rsidRPr="00817AE2" w:rsidRDefault="00917349" w:rsidP="00917349">
            <w:pPr>
              <w:jc w:val="both"/>
              <w:rPr>
                <w:rFonts w:asciiTheme="majorBidi" w:hAnsiTheme="majorBidi" w:cstheme="majorBidi"/>
                <w:sz w:val="24"/>
                <w:szCs w:val="24"/>
              </w:rPr>
            </w:pPr>
            <w:r w:rsidRPr="00817AE2">
              <w:rPr>
                <w:rFonts w:asciiTheme="majorBidi" w:hAnsiTheme="majorBidi" w:cstheme="majorBidi"/>
                <w:sz w:val="24"/>
                <w:szCs w:val="24"/>
              </w:rPr>
              <w:t>0.2</w:t>
            </w:r>
          </w:p>
        </w:tc>
      </w:tr>
      <w:tr w:rsidR="00917349" w:rsidRPr="00817AE2" w14:paraId="11F127A6" w14:textId="77777777" w:rsidTr="00917349">
        <w:trPr>
          <w:trHeight w:val="290"/>
        </w:trPr>
        <w:tc>
          <w:tcPr>
            <w:tcW w:w="2280" w:type="dxa"/>
            <w:tcBorders>
              <w:top w:val="nil"/>
              <w:left w:val="single" w:sz="8" w:space="0" w:color="auto"/>
              <w:bottom w:val="single" w:sz="8" w:space="0" w:color="auto"/>
              <w:right w:val="nil"/>
            </w:tcBorders>
            <w:shd w:val="clear" w:color="auto" w:fill="FFFFFF"/>
            <w:noWrap/>
            <w:tcMar>
              <w:top w:w="0" w:type="dxa"/>
              <w:left w:w="108" w:type="dxa"/>
              <w:bottom w:w="0" w:type="dxa"/>
              <w:right w:w="108" w:type="dxa"/>
            </w:tcMar>
            <w:vAlign w:val="bottom"/>
            <w:hideMark/>
          </w:tcPr>
          <w:p w14:paraId="2F7BD732" w14:textId="77777777" w:rsidR="00917349" w:rsidRPr="00817AE2" w:rsidRDefault="00917349" w:rsidP="00917349">
            <w:pPr>
              <w:jc w:val="both"/>
              <w:rPr>
                <w:rFonts w:asciiTheme="majorBidi" w:hAnsiTheme="majorBidi" w:cstheme="majorBidi"/>
                <w:sz w:val="24"/>
                <w:szCs w:val="24"/>
              </w:rPr>
            </w:pPr>
            <w:r w:rsidRPr="00817AE2">
              <w:rPr>
                <w:rFonts w:asciiTheme="majorBidi" w:hAnsiTheme="majorBidi" w:cstheme="majorBidi"/>
                <w:sz w:val="24"/>
                <w:szCs w:val="24"/>
              </w:rPr>
              <w:t>TRAMADOL</w:t>
            </w:r>
          </w:p>
        </w:tc>
        <w:tc>
          <w:tcPr>
            <w:tcW w:w="194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CFB5B7A" w14:textId="77777777" w:rsidR="00917349" w:rsidRPr="00817AE2" w:rsidRDefault="00917349" w:rsidP="00917349">
            <w:pPr>
              <w:jc w:val="both"/>
              <w:rPr>
                <w:rFonts w:asciiTheme="majorBidi" w:hAnsiTheme="majorBidi" w:cstheme="majorBidi"/>
                <w:sz w:val="24"/>
                <w:szCs w:val="24"/>
              </w:rPr>
            </w:pPr>
            <w:r w:rsidRPr="00817AE2">
              <w:rPr>
                <w:rFonts w:asciiTheme="majorBidi" w:hAnsiTheme="majorBidi" w:cstheme="majorBidi"/>
                <w:sz w:val="24"/>
                <w:szCs w:val="24"/>
              </w:rPr>
              <w:t>0.1</w:t>
            </w:r>
          </w:p>
        </w:tc>
      </w:tr>
    </w:tbl>
    <w:p w14:paraId="6B8AB3FD" w14:textId="77777777" w:rsidR="00917349" w:rsidRPr="00817AE2" w:rsidRDefault="00917349" w:rsidP="00917349">
      <w:pPr>
        <w:jc w:val="both"/>
        <w:rPr>
          <w:rFonts w:asciiTheme="majorBidi" w:hAnsiTheme="majorBidi" w:cstheme="majorBidi"/>
          <w:sz w:val="24"/>
          <w:szCs w:val="24"/>
        </w:rPr>
      </w:pPr>
      <w:r w:rsidRPr="00817AE2">
        <w:rPr>
          <w:rFonts w:asciiTheme="majorBidi" w:hAnsiTheme="majorBidi" w:cstheme="majorBidi"/>
          <w:sz w:val="24"/>
          <w:szCs w:val="24"/>
        </w:rPr>
        <w:t>a: keep in mcg/</w:t>
      </w:r>
      <w:proofErr w:type="spellStart"/>
      <w:r w:rsidRPr="00817AE2">
        <w:rPr>
          <w:rFonts w:asciiTheme="majorBidi" w:hAnsiTheme="majorBidi" w:cstheme="majorBidi"/>
          <w:sz w:val="24"/>
          <w:szCs w:val="24"/>
        </w:rPr>
        <w:t>hr</w:t>
      </w:r>
      <w:proofErr w:type="spellEnd"/>
      <w:r w:rsidRPr="00817AE2">
        <w:rPr>
          <w:rFonts w:asciiTheme="majorBidi" w:hAnsiTheme="majorBidi" w:cstheme="majorBidi"/>
          <w:sz w:val="24"/>
          <w:szCs w:val="24"/>
        </w:rPr>
        <w:t xml:space="preserve"> and use this factor-do not adjust to match units</w:t>
      </w:r>
    </w:p>
    <w:p w14:paraId="0653CBDC" w14:textId="259C9280" w:rsidR="00991084" w:rsidRPr="00817AE2" w:rsidRDefault="00917349" w:rsidP="00F44EC1">
      <w:pPr>
        <w:jc w:val="both"/>
        <w:rPr>
          <w:rFonts w:asciiTheme="majorBidi" w:hAnsiTheme="majorBidi" w:cstheme="majorBidi"/>
          <w:sz w:val="24"/>
          <w:szCs w:val="24"/>
        </w:rPr>
      </w:pPr>
      <w:r w:rsidRPr="00817AE2">
        <w:rPr>
          <w:rFonts w:asciiTheme="majorBidi" w:hAnsiTheme="majorBidi" w:cstheme="majorBidi"/>
          <w:sz w:val="24"/>
          <w:szCs w:val="24"/>
        </w:rPr>
        <w:t>b: CDC reference notes conversion factor for methadone increases at higher doses: 1-20 mg/day 4; 21-40 mg/day 8; 41-60 mg/day 10; &gt;60 -80 mg/day 12.</w:t>
      </w:r>
    </w:p>
    <w:p w14:paraId="2A5ABD17" w14:textId="4F296895" w:rsidR="00991084" w:rsidRPr="00817AE2" w:rsidRDefault="00991084" w:rsidP="00991084">
      <w:pPr>
        <w:jc w:val="both"/>
        <w:rPr>
          <w:rFonts w:asciiTheme="majorBidi" w:hAnsiTheme="majorBidi" w:cstheme="majorBidi"/>
          <w:sz w:val="24"/>
          <w:szCs w:val="24"/>
        </w:rPr>
      </w:pPr>
      <w:r w:rsidRPr="00817AE2">
        <w:rPr>
          <w:rFonts w:asciiTheme="majorBidi" w:hAnsiTheme="majorBidi" w:cstheme="majorBidi"/>
          <w:i/>
          <w:iCs/>
          <w:sz w:val="24"/>
          <w:szCs w:val="24"/>
        </w:rPr>
        <w:t>Doctor-shopping behavior</w:t>
      </w:r>
      <w:r w:rsidRPr="00817AE2">
        <w:rPr>
          <w:rFonts w:asciiTheme="majorBidi" w:hAnsiTheme="majorBidi" w:cstheme="majorBidi"/>
          <w:sz w:val="24"/>
          <w:szCs w:val="24"/>
        </w:rPr>
        <w:t xml:space="preserve">: </w:t>
      </w:r>
    </w:p>
    <w:p w14:paraId="029DEFAE" w14:textId="6D00BF63" w:rsidR="00C95C0D" w:rsidRPr="00817AE2" w:rsidRDefault="008D575E" w:rsidP="00707051">
      <w:pPr>
        <w:jc w:val="both"/>
        <w:rPr>
          <w:rFonts w:asciiTheme="majorBidi" w:hAnsiTheme="majorBidi" w:cstheme="majorBidi"/>
          <w:sz w:val="24"/>
          <w:szCs w:val="24"/>
        </w:rPr>
      </w:pPr>
      <w:r w:rsidRPr="00817AE2">
        <w:rPr>
          <w:rFonts w:asciiTheme="majorBidi" w:hAnsiTheme="majorBidi" w:cstheme="majorBidi"/>
          <w:sz w:val="24"/>
          <w:szCs w:val="24"/>
        </w:rPr>
        <w:t xml:space="preserve">A shopping event </w:t>
      </w:r>
      <w:r w:rsidRPr="003246B1">
        <w:rPr>
          <w:rFonts w:asciiTheme="majorBidi" w:hAnsiTheme="majorBidi" w:cstheme="majorBidi"/>
          <w:noProof/>
          <w:sz w:val="24"/>
          <w:szCs w:val="24"/>
        </w:rPr>
        <w:t>is defined</w:t>
      </w:r>
      <w:r w:rsidRPr="00817AE2">
        <w:rPr>
          <w:rFonts w:asciiTheme="majorBidi" w:hAnsiTheme="majorBidi" w:cstheme="majorBidi"/>
          <w:sz w:val="24"/>
          <w:szCs w:val="24"/>
        </w:rPr>
        <w:t xml:space="preserve"> as</w:t>
      </w:r>
      <w:r w:rsidR="007754BA" w:rsidRPr="00817AE2">
        <w:rPr>
          <w:rFonts w:asciiTheme="majorBidi" w:hAnsiTheme="majorBidi" w:cstheme="majorBidi"/>
          <w:sz w:val="24"/>
          <w:szCs w:val="24"/>
        </w:rPr>
        <w:t xml:space="preserve"> at least </w:t>
      </w:r>
      <w:r w:rsidR="007754BA" w:rsidRPr="003246B1">
        <w:rPr>
          <w:rFonts w:asciiTheme="majorBidi" w:hAnsiTheme="majorBidi" w:cstheme="majorBidi"/>
          <w:noProof/>
          <w:sz w:val="24"/>
          <w:szCs w:val="24"/>
        </w:rPr>
        <w:t>1</w:t>
      </w:r>
      <w:r w:rsidR="007754BA" w:rsidRPr="00817AE2">
        <w:rPr>
          <w:rFonts w:asciiTheme="majorBidi" w:hAnsiTheme="majorBidi" w:cstheme="majorBidi"/>
          <w:sz w:val="24"/>
          <w:szCs w:val="24"/>
        </w:rPr>
        <w:t xml:space="preserve"> day of overlapping dispensing</w:t>
      </w:r>
      <w:r w:rsidR="007754BA" w:rsidRPr="007754BA">
        <w:rPr>
          <w:rFonts w:asciiTheme="majorBidi" w:hAnsiTheme="majorBidi" w:cstheme="majorBidi"/>
          <w:sz w:val="24"/>
          <w:szCs w:val="24"/>
        </w:rPr>
        <w:t xml:space="preserve"> of opioids written by two or</w:t>
      </w:r>
      <w:r w:rsidR="007754BA" w:rsidRPr="00817AE2">
        <w:rPr>
          <w:rFonts w:asciiTheme="majorBidi" w:hAnsiTheme="majorBidi" w:cstheme="majorBidi"/>
          <w:sz w:val="24"/>
          <w:szCs w:val="24"/>
        </w:rPr>
        <w:t xml:space="preserve"> more different prescribers</w:t>
      </w:r>
      <w:r w:rsidR="00B7097D" w:rsidRPr="00817AE2">
        <w:rPr>
          <w:rFonts w:asciiTheme="majorBidi" w:hAnsiTheme="majorBidi" w:cstheme="majorBidi"/>
          <w:sz w:val="24"/>
          <w:szCs w:val="24"/>
        </w:rPr>
        <w:t>, and involving 3 or more pharmacies</w:t>
      </w:r>
      <w:r w:rsidR="00D03C9D">
        <w:rPr>
          <w:rFonts w:asciiTheme="majorBidi" w:hAnsiTheme="majorBidi" w:cstheme="majorBidi"/>
          <w:sz w:val="24"/>
          <w:szCs w:val="24"/>
        </w:rPr>
        <w:t>. A</w:t>
      </w:r>
      <w:r w:rsidR="00C95A74">
        <w:rPr>
          <w:rFonts w:asciiTheme="majorBidi" w:hAnsiTheme="majorBidi" w:cstheme="majorBidi"/>
          <w:sz w:val="24"/>
          <w:szCs w:val="24"/>
        </w:rPr>
        <w:t>nother possibility is to perform sensitivity analysis and extend the</w:t>
      </w:r>
      <w:r w:rsidR="0030597F" w:rsidRPr="0030597F">
        <w:rPr>
          <w:rFonts w:ascii="AdvTimes" w:hAnsi="AdvTimes" w:cs="AdvTimes"/>
          <w:color w:val="202020"/>
          <w:sz w:val="20"/>
          <w:szCs w:val="20"/>
        </w:rPr>
        <w:t xml:space="preserve"> </w:t>
      </w:r>
      <w:r w:rsidR="0030597F" w:rsidRPr="0030597F">
        <w:rPr>
          <w:rFonts w:asciiTheme="majorBidi" w:hAnsiTheme="majorBidi" w:cstheme="majorBidi"/>
          <w:sz w:val="24"/>
          <w:szCs w:val="24"/>
        </w:rPr>
        <w:t>minimum time</w:t>
      </w:r>
      <w:r w:rsidR="0030597F">
        <w:rPr>
          <w:rFonts w:asciiTheme="majorBidi" w:hAnsiTheme="majorBidi" w:cstheme="majorBidi"/>
          <w:sz w:val="24"/>
          <w:szCs w:val="24"/>
        </w:rPr>
        <w:t xml:space="preserve"> </w:t>
      </w:r>
      <w:r w:rsidR="0030597F" w:rsidRPr="0030597F">
        <w:rPr>
          <w:rFonts w:asciiTheme="majorBidi" w:hAnsiTheme="majorBidi" w:cstheme="majorBidi"/>
          <w:sz w:val="24"/>
          <w:szCs w:val="24"/>
        </w:rPr>
        <w:t>necessary</w:t>
      </w:r>
      <w:r w:rsidR="002D088E">
        <w:rPr>
          <w:rFonts w:asciiTheme="majorBidi" w:hAnsiTheme="majorBidi" w:cstheme="majorBidi"/>
          <w:sz w:val="24"/>
          <w:szCs w:val="24"/>
        </w:rPr>
        <w:t xml:space="preserve"> </w:t>
      </w:r>
      <w:r w:rsidR="002D088E" w:rsidRPr="002D088E">
        <w:rPr>
          <w:rFonts w:asciiTheme="majorBidi" w:hAnsiTheme="majorBidi" w:cstheme="majorBidi"/>
          <w:sz w:val="24"/>
          <w:szCs w:val="24"/>
        </w:rPr>
        <w:t>to consider that prescriptions overlapped</w:t>
      </w:r>
      <w:r w:rsidR="00D03C9D">
        <w:rPr>
          <w:rFonts w:asciiTheme="majorBidi" w:hAnsiTheme="majorBidi" w:cstheme="majorBidi"/>
          <w:sz w:val="24"/>
          <w:szCs w:val="24"/>
        </w:rPr>
        <w:t xml:space="preserve"> from </w:t>
      </w:r>
      <w:r w:rsidR="00D03C9D" w:rsidRPr="00D03C9D">
        <w:rPr>
          <w:rFonts w:asciiTheme="majorBidi" w:hAnsiTheme="majorBidi" w:cstheme="majorBidi"/>
          <w:sz w:val="24"/>
          <w:szCs w:val="24"/>
        </w:rPr>
        <w:t>1 day to 4 days</w:t>
      </w:r>
      <w:r w:rsidR="00B7097D" w:rsidRPr="00817AE2">
        <w:rPr>
          <w:rFonts w:asciiTheme="majorBidi" w:hAnsiTheme="majorBidi" w:cstheme="majorBidi"/>
          <w:sz w:val="24"/>
          <w:szCs w:val="24"/>
        </w:rPr>
        <w:t>.</w:t>
      </w:r>
      <w:r w:rsidR="00D03C9D">
        <w:rPr>
          <w:rFonts w:asciiTheme="majorBidi" w:hAnsiTheme="majorBidi" w:cstheme="majorBidi"/>
          <w:sz w:val="24"/>
          <w:szCs w:val="24"/>
        </w:rPr>
        <w:t xml:space="preserve"> Both approache</w:t>
      </w:r>
      <w:r w:rsidR="0075568E">
        <w:rPr>
          <w:rFonts w:asciiTheme="majorBidi" w:hAnsiTheme="majorBidi" w:cstheme="majorBidi"/>
          <w:sz w:val="24"/>
          <w:szCs w:val="24"/>
        </w:rPr>
        <w:t>s</w:t>
      </w:r>
      <w:r w:rsidR="00D03C9D">
        <w:rPr>
          <w:rFonts w:asciiTheme="majorBidi" w:hAnsiTheme="majorBidi" w:cstheme="majorBidi"/>
          <w:sz w:val="24"/>
          <w:szCs w:val="24"/>
        </w:rPr>
        <w:t xml:space="preserve"> attempt to </w:t>
      </w:r>
      <w:r w:rsidR="00DD28CD" w:rsidRPr="00DD28CD">
        <w:rPr>
          <w:rFonts w:asciiTheme="majorBidi" w:hAnsiTheme="majorBidi" w:cstheme="majorBidi"/>
          <w:noProof/>
          <w:sz w:val="24"/>
          <w:szCs w:val="24"/>
        </w:rPr>
        <w:t>strict</w:t>
      </w:r>
      <w:r w:rsidR="00D03C9D">
        <w:rPr>
          <w:rFonts w:asciiTheme="majorBidi" w:hAnsiTheme="majorBidi" w:cstheme="majorBidi"/>
          <w:sz w:val="24"/>
          <w:szCs w:val="24"/>
        </w:rPr>
        <w:t xml:space="preserve"> the conditions for misuse</w:t>
      </w:r>
      <w:r w:rsidR="00011E7F">
        <w:rPr>
          <w:rFonts w:asciiTheme="majorBidi" w:hAnsiTheme="majorBidi" w:cstheme="majorBidi"/>
          <w:sz w:val="24"/>
          <w:szCs w:val="24"/>
        </w:rPr>
        <w:t xml:space="preserve"> </w:t>
      </w:r>
      <w:r w:rsidR="00011E7F" w:rsidRPr="003246B1">
        <w:rPr>
          <w:rFonts w:asciiTheme="majorBidi" w:hAnsiTheme="majorBidi" w:cstheme="majorBidi"/>
          <w:noProof/>
          <w:sz w:val="24"/>
          <w:szCs w:val="24"/>
        </w:rPr>
        <w:t>in order to</w:t>
      </w:r>
      <w:r w:rsidR="00011E7F">
        <w:rPr>
          <w:rFonts w:asciiTheme="majorBidi" w:hAnsiTheme="majorBidi" w:cstheme="majorBidi"/>
          <w:sz w:val="24"/>
          <w:szCs w:val="24"/>
        </w:rPr>
        <w:t xml:space="preserve"> eliminate legitimate overlap</w:t>
      </w:r>
      <w:r w:rsidR="00D03C9D">
        <w:rPr>
          <w:rFonts w:asciiTheme="majorBidi" w:hAnsiTheme="majorBidi" w:cstheme="majorBidi"/>
          <w:sz w:val="24"/>
          <w:szCs w:val="24"/>
        </w:rPr>
        <w:t>.</w:t>
      </w:r>
      <w:r w:rsidR="00B7097D" w:rsidRPr="00817AE2">
        <w:rPr>
          <w:rFonts w:asciiTheme="majorBidi" w:hAnsiTheme="majorBidi" w:cstheme="majorBidi"/>
          <w:sz w:val="24"/>
          <w:szCs w:val="24"/>
        </w:rPr>
        <w:t xml:space="preserve"> </w:t>
      </w:r>
      <w:r w:rsidR="00DD28CD">
        <w:rPr>
          <w:rFonts w:asciiTheme="majorBidi" w:hAnsiTheme="majorBidi" w:cstheme="majorBidi"/>
          <w:noProof/>
          <w:sz w:val="24"/>
          <w:szCs w:val="24"/>
        </w:rPr>
        <w:t>O</w:t>
      </w:r>
      <w:r w:rsidR="00C95A74" w:rsidRPr="00DD28CD">
        <w:rPr>
          <w:rFonts w:asciiTheme="majorBidi" w:hAnsiTheme="majorBidi" w:cstheme="majorBidi"/>
          <w:noProof/>
          <w:sz w:val="24"/>
          <w:szCs w:val="24"/>
        </w:rPr>
        <w:t>verlap</w:t>
      </w:r>
      <w:r w:rsidR="00C95A74">
        <w:rPr>
          <w:rFonts w:asciiTheme="majorBidi" w:hAnsiTheme="majorBidi" w:cstheme="majorBidi"/>
          <w:sz w:val="24"/>
          <w:szCs w:val="24"/>
        </w:rPr>
        <w:t xml:space="preserve"> occurs when a </w:t>
      </w:r>
      <w:r w:rsidR="00C95A74" w:rsidRPr="00C95A74">
        <w:rPr>
          <w:rFonts w:asciiTheme="majorBidi" w:hAnsiTheme="majorBidi" w:cstheme="majorBidi"/>
          <w:sz w:val="24"/>
          <w:szCs w:val="24"/>
        </w:rPr>
        <w:t>prescription was dispensed</w:t>
      </w:r>
      <w:r w:rsidR="00C95A74">
        <w:rPr>
          <w:rFonts w:asciiTheme="majorBidi" w:hAnsiTheme="majorBidi" w:cstheme="majorBidi"/>
          <w:sz w:val="24"/>
          <w:szCs w:val="24"/>
        </w:rPr>
        <w:t xml:space="preserve"> </w:t>
      </w:r>
      <w:r w:rsidR="00C95A74" w:rsidRPr="00C95A74">
        <w:rPr>
          <w:rFonts w:asciiTheme="majorBidi" w:hAnsiTheme="majorBidi" w:cstheme="majorBidi"/>
          <w:sz w:val="24"/>
          <w:szCs w:val="24"/>
        </w:rPr>
        <w:t>during the days’ supply of another dispensed</w:t>
      </w:r>
      <w:r w:rsidR="00C95A74">
        <w:rPr>
          <w:rFonts w:asciiTheme="majorBidi" w:hAnsiTheme="majorBidi" w:cstheme="majorBidi"/>
          <w:sz w:val="24"/>
          <w:szCs w:val="24"/>
        </w:rPr>
        <w:t xml:space="preserve"> </w:t>
      </w:r>
      <w:r w:rsidR="00C95A74" w:rsidRPr="003246B1">
        <w:rPr>
          <w:rFonts w:asciiTheme="majorBidi" w:hAnsiTheme="majorBidi" w:cstheme="majorBidi"/>
          <w:noProof/>
          <w:sz w:val="24"/>
          <w:szCs w:val="24"/>
        </w:rPr>
        <w:t>prescription</w:t>
      </w:r>
      <w:r w:rsidR="00C95A74">
        <w:rPr>
          <w:rFonts w:asciiTheme="majorBidi" w:hAnsiTheme="majorBidi" w:cstheme="majorBidi"/>
          <w:sz w:val="24"/>
          <w:szCs w:val="24"/>
        </w:rPr>
        <w:t xml:space="preserve"> and includes </w:t>
      </w:r>
      <w:r w:rsidR="00C95A74" w:rsidRPr="00C95A74">
        <w:rPr>
          <w:rFonts w:asciiTheme="majorBidi" w:hAnsiTheme="majorBidi" w:cstheme="majorBidi"/>
          <w:sz w:val="24"/>
          <w:szCs w:val="24"/>
        </w:rPr>
        <w:t>the same or different opioids</w:t>
      </w:r>
      <w:r w:rsidR="006278DA">
        <w:rPr>
          <w:rFonts w:asciiTheme="majorBidi" w:hAnsiTheme="majorBidi" w:cstheme="majorBidi"/>
          <w:sz w:val="24"/>
          <w:szCs w:val="24"/>
        </w:rPr>
        <w:t xml:space="preserve"> </w:t>
      </w:r>
      <w:r w:rsidR="00707051">
        <w:rPr>
          <w:rFonts w:asciiTheme="majorBidi" w:hAnsiTheme="majorBidi" w:cstheme="majorBidi"/>
          <w:sz w:val="24"/>
          <w:szCs w:val="24"/>
        </w:rPr>
        <w:fldChar w:fldCharType="begin"/>
      </w:r>
      <w:r w:rsidR="00707051">
        <w:rPr>
          <w:rFonts w:asciiTheme="majorBidi" w:hAnsiTheme="majorBidi" w:cstheme="majorBidi"/>
          <w:sz w:val="24"/>
          <w:szCs w:val="24"/>
        </w:rPr>
        <w:instrText xml:space="preserve"> ADDIN ZOTERO_ITEM CSL_CITATION {"citationID":"1mfvq1v0g1","properties":{"formattedCitation":"(Cepeda, Fife, Chow, Mastrogiovanni, &amp; Henderson, 2012, 2013)","plainCitation":"(Cepeda, Fife, Chow, Mastrogiovanni, &amp; Henderson, 2012, 2013)"},"citationItems":[{"id":35,"uris":["http://zotero.org/users/2756963/items/PUF43VVZ"],"uri":["http://zotero.org/users/2756963/items/PUF43VVZ"],"itemData":{"id":35,"type":"article-journal","title":"Assessing opioid shopping behaviour: a large cohort study from a medication dispensing database in the US","container-title":"Drug Safety","page":"325-334","volume":"35","issue":"4","source":"PubMed","abstract":"BACKGROUND: : Risks of abuse, misuse and diversion of opioids are of concern. Obtaining opioid prescriptions from multiple prescribers, known as opioid shopping, is a way in which opioids may be abused and diverted. Previous studies relied on counting the number of prescribers or number of pharmacies a subject goes to in a year to define shopping behaviour, but did not distinguish successive prescribers from concomitant prescribers.\nOBJECTIVE: : The aim of the study was to assess the frequency of opioid overlapping prescriptions from different prescribers, compare it with diuretics and benzodiazepines, and provide a definition of shopping behaviour that differentiates opioids from diuretics, avoiding the inappropriate flagging of individuals with legitimate use of opioids.\nSTUDY DESIGN: : Population-based cohort study using the IMS LRx database. This database covers 65% of all retail prescriptions in the US and includes mail service and specialty pharmacy provider prescriptions independent of the method of payment.\nSETTING: : Ambulatory.\nPATIENTS: : Subjects with at least one dispensing for any type of opioid in 2008. Similar cohorts were created for subjects exposed to benzodiazepines or diuretics. Analyses were performed separately for naïve subjects and those with prior use.\nOUTCOME: : Frequency of overlapping prescriptions defined as at least 1 day of overlapping dispensing of prescriptions written by two or more different prescribers at any time during an 18-month period.\nRESULTS: : A total of 25 161 024 subjects exposed to opioids were included, of whom 13.1% exhibited at least one episode of overlapping prescriptions during 18 months of follow-up. Almost 10% of subjects exposed to benzodiazepines and 13.8% of subjects exposed to diuretics exhibited a similar behaviour. Having overlapping prescriptions dispensed by three or more pharmacies differentiates opioids from the other medication classes. Using that criterion, the overall risk of shopping behaviour was 0.18% in subjects exposed to opioids, 0.10% in subjects exposed to benzodiazepines and 0.03% in subjects exposed to diuretics. For opioids, subjects aged between 25 and 64 years exhibited shopping behaviour more commonly (0.25%) than subjects 65 years or older (0.07%), and subjects with a history of prior opioid use exhibited such behaviour more commonly (0.7%) than opioid-naïve subjects (0.07%).\nCONCLUSION: : Overlapping of prescriptions is not unique to opioids and therefore a criterion that incorporates number of pharmacies is needed to define shopping behaviour. Having two or more overlapping prescriptions written by different prescribers and filled at three or more pharmacies differentiates opioids from diuretics and likely constitutes shopping behaviour.","DOI":"10.2165/11596600-000000000-00000","ISSN":"1179-1942","note":"PMID: 22339505","shortTitle":"Assessing opioid shopping behaviour","journalAbbreviation":"Drug Saf","language":"eng","author":[{"family":"Cepeda","given":"M. Soledad"},{"family":"Fife","given":"Daniel"},{"family":"Chow","given":"Wing"},{"family":"Mastrogiovanni","given":"Gregory"},{"family":"Henderson","given":"Scott C."}],"issued":{"date-parts":[["2012",4,1]]},"PMID":"22339505"},"label":"page"},{"id":37,"uris":["http://zotero.org/users/2756963/items/AZADPH83"],"uri":["http://zotero.org/users/2756963/items/AZADPH83"],"itemData":{"id":37,"type":"article-journal","title":"Opioid shopping behavior: how often, how soon, which drugs, and what payment method","container-title":"Journal of Clinical Pharmacology","page":"112-117","volume":"53","issue":"1","source":"PubMed","abstract":"Doctor shopping (obtaining opioid prescriptions from multiple prescribers) is one example of opioid abuse and diversion. The authors assessed how soon shopping behavior was observed after opioid exposure, number of events per shopper, preferred opioids, and method of payment. This was a cohort study. Individuals with ≤1 dispensing for any opioid in 2008 were followed for 18 months. Shopping behavior was defined as ≤2 prescriptions by different prescribers with ≤1 day of overlap and filled at ≤3 pharmacies. Of 25,161,024 subjects, 0.30% exhibited shopping behavior. Opioid-experienced subjects were 13.7 times more likely to exhibit shopping behavior and had more shopping episodes than opioid-naive subjects. Time to first shopping event was 246.90 ± 163.61 days. Number of episodes was 2.74 ± 4.66. Most subjects with shopping behavior (55.27%) had 1 shopping episode, whereas 9.52% had ≤6 episodes; 88.99% had ≤4 prescribers. Subjects with shopping behavior filled schedule II opioids more often than subjects without shopping behavior (19.51% vs 10.89%) and more often paid in cash (44.85% vs 18.54%). Three of 1000 people exposed to opioids exhibit shopping behavior, on average, 8 months after exposure. Opioid shoppers seek strong opioids, avoid combination products, often pay cash, and obtain prescriptions from few prescribers.","DOI":"10.1177/0091270012436561","ISSN":"1552-4604","note":"PMID: 23400751","shortTitle":"Opioid shopping behavior","journalAbbreviation":"J Clin Pharmacol","language":"eng","author":[{"family":"Cepeda","given":"M. Soledad"},{"family":"Fife","given":"Daniel"},{"family":"Chow","given":"Wing"},{"family":"Mastrogiovanni","given":"Gregory"},{"family":"Henderson","given":"Scott C."}],"issued":{"date-parts":[["2013",1]]},"PMID":"23400751"},"label":"page"}],"schema":"https://github.com/citation-style-language/schema/raw/master/csl-citation.json"} </w:instrText>
      </w:r>
      <w:r w:rsidR="00707051">
        <w:rPr>
          <w:rFonts w:asciiTheme="majorBidi" w:hAnsiTheme="majorBidi" w:cstheme="majorBidi"/>
          <w:sz w:val="24"/>
          <w:szCs w:val="24"/>
        </w:rPr>
        <w:fldChar w:fldCharType="separate"/>
      </w:r>
      <w:r w:rsidR="00707051" w:rsidRPr="00707051">
        <w:rPr>
          <w:rFonts w:ascii="Times New Roman" w:hAnsi="Times New Roman" w:cs="Times New Roman"/>
          <w:sz w:val="24"/>
        </w:rPr>
        <w:t>(Cepeda, Fife, Chow, Mastrogiovanni, &amp; Henderson, 2012, 2013)</w:t>
      </w:r>
      <w:r w:rsidR="00707051">
        <w:rPr>
          <w:rFonts w:asciiTheme="majorBidi" w:hAnsiTheme="majorBidi" w:cstheme="majorBidi"/>
          <w:sz w:val="24"/>
          <w:szCs w:val="24"/>
        </w:rPr>
        <w:fldChar w:fldCharType="end"/>
      </w:r>
      <w:r w:rsidR="00707051">
        <w:rPr>
          <w:rFonts w:asciiTheme="majorBidi" w:hAnsiTheme="majorBidi" w:cstheme="majorBidi"/>
          <w:sz w:val="24"/>
          <w:szCs w:val="24"/>
        </w:rPr>
        <w:t>.</w:t>
      </w:r>
    </w:p>
    <w:p w14:paraId="20608A1C" w14:textId="04A5292D" w:rsidR="0096090E" w:rsidRPr="00817AE2" w:rsidRDefault="0096090E" w:rsidP="0096090E">
      <w:pPr>
        <w:jc w:val="both"/>
        <w:rPr>
          <w:rFonts w:asciiTheme="majorBidi" w:hAnsiTheme="majorBidi" w:cstheme="majorBidi"/>
          <w:sz w:val="24"/>
          <w:szCs w:val="24"/>
        </w:rPr>
      </w:pPr>
      <w:r w:rsidRPr="00817AE2">
        <w:rPr>
          <w:rFonts w:asciiTheme="majorBidi" w:hAnsiTheme="majorBidi" w:cstheme="majorBidi"/>
          <w:sz w:val="24"/>
          <w:szCs w:val="24"/>
        </w:rPr>
        <w:lastRenderedPageBreak/>
        <w:t>Data cleanup</w:t>
      </w:r>
      <w:r w:rsidR="00C95C0D" w:rsidRPr="00817AE2">
        <w:rPr>
          <w:rFonts w:asciiTheme="majorBidi" w:hAnsiTheme="majorBidi" w:cstheme="majorBidi"/>
          <w:sz w:val="24"/>
          <w:szCs w:val="24"/>
        </w:rPr>
        <w:t xml:space="preserve"> - inclusion</w:t>
      </w:r>
      <w:r w:rsidRPr="00817AE2">
        <w:rPr>
          <w:rFonts w:asciiTheme="majorBidi" w:hAnsiTheme="majorBidi" w:cstheme="majorBidi"/>
          <w:sz w:val="24"/>
          <w:szCs w:val="24"/>
        </w:rPr>
        <w:t xml:space="preserve"> suggestion</w:t>
      </w:r>
      <w:r w:rsidR="00C95C0D" w:rsidRPr="00817AE2">
        <w:rPr>
          <w:rFonts w:asciiTheme="majorBidi" w:hAnsiTheme="majorBidi" w:cstheme="majorBidi"/>
          <w:sz w:val="24"/>
          <w:szCs w:val="24"/>
        </w:rPr>
        <w:t>s</w:t>
      </w:r>
      <w:r w:rsidRPr="00817AE2">
        <w:rPr>
          <w:rFonts w:asciiTheme="majorBidi" w:hAnsiTheme="majorBidi" w:cstheme="majorBidi"/>
          <w:sz w:val="24"/>
          <w:szCs w:val="24"/>
        </w:rPr>
        <w:t xml:space="preserve">: </w:t>
      </w:r>
    </w:p>
    <w:p w14:paraId="3D3C95B3" w14:textId="5401A111" w:rsidR="0096090E" w:rsidRPr="00817AE2" w:rsidRDefault="00C95C0D" w:rsidP="0096090E">
      <w:pPr>
        <w:pStyle w:val="ListParagraph"/>
        <w:numPr>
          <w:ilvl w:val="0"/>
          <w:numId w:val="1"/>
        </w:numPr>
        <w:jc w:val="both"/>
        <w:rPr>
          <w:rFonts w:asciiTheme="majorBidi" w:hAnsiTheme="majorBidi" w:cstheme="majorBidi"/>
          <w:sz w:val="24"/>
          <w:szCs w:val="24"/>
        </w:rPr>
      </w:pPr>
      <w:r w:rsidRPr="00817AE2">
        <w:rPr>
          <w:rFonts w:asciiTheme="majorBidi" w:hAnsiTheme="majorBidi" w:cstheme="majorBidi"/>
          <w:sz w:val="24"/>
          <w:szCs w:val="24"/>
        </w:rPr>
        <w:t>S</w:t>
      </w:r>
      <w:r w:rsidR="0096090E" w:rsidRPr="00817AE2">
        <w:rPr>
          <w:rFonts w:asciiTheme="majorBidi" w:hAnsiTheme="majorBidi" w:cstheme="majorBidi"/>
          <w:sz w:val="24"/>
          <w:szCs w:val="24"/>
        </w:rPr>
        <w:t xml:space="preserve">ubjects with at least one dispensing of any opioid (strong, weak, immediate release, extended release or in combination formulation) </w:t>
      </w:r>
    </w:p>
    <w:p w14:paraId="3955250A" w14:textId="77777777" w:rsidR="0096090E" w:rsidRPr="00817AE2" w:rsidRDefault="0096090E" w:rsidP="0096090E">
      <w:pPr>
        <w:pStyle w:val="ListParagraph"/>
        <w:numPr>
          <w:ilvl w:val="0"/>
          <w:numId w:val="1"/>
        </w:numPr>
        <w:jc w:val="both"/>
        <w:rPr>
          <w:rFonts w:asciiTheme="majorBidi" w:hAnsiTheme="majorBidi" w:cstheme="majorBidi"/>
          <w:sz w:val="24"/>
          <w:szCs w:val="24"/>
        </w:rPr>
      </w:pPr>
      <w:r w:rsidRPr="00817AE2">
        <w:rPr>
          <w:rFonts w:asciiTheme="majorBidi" w:hAnsiTheme="majorBidi" w:cstheme="majorBidi"/>
          <w:sz w:val="24"/>
          <w:szCs w:val="24"/>
        </w:rPr>
        <w:t xml:space="preserve">Subjects with </w:t>
      </w:r>
      <w:r w:rsidRPr="003246B1">
        <w:rPr>
          <w:rFonts w:asciiTheme="majorBidi" w:hAnsiTheme="majorBidi" w:cstheme="majorBidi"/>
          <w:noProof/>
          <w:sz w:val="24"/>
          <w:szCs w:val="24"/>
        </w:rPr>
        <w:t>3</w:t>
      </w:r>
      <w:r w:rsidRPr="00817AE2">
        <w:rPr>
          <w:rFonts w:asciiTheme="majorBidi" w:hAnsiTheme="majorBidi" w:cstheme="majorBidi"/>
          <w:sz w:val="24"/>
          <w:szCs w:val="24"/>
        </w:rPr>
        <w:t xml:space="preserve"> months of data </w:t>
      </w:r>
      <w:r w:rsidRPr="003246B1">
        <w:rPr>
          <w:rFonts w:asciiTheme="majorBidi" w:hAnsiTheme="majorBidi" w:cstheme="majorBidi"/>
          <w:noProof/>
          <w:sz w:val="24"/>
          <w:szCs w:val="24"/>
        </w:rPr>
        <w:t>prior to</w:t>
      </w:r>
      <w:r w:rsidRPr="00817AE2">
        <w:rPr>
          <w:rFonts w:asciiTheme="majorBidi" w:hAnsiTheme="majorBidi" w:cstheme="majorBidi"/>
          <w:sz w:val="24"/>
          <w:szCs w:val="24"/>
        </w:rPr>
        <w:t xml:space="preserve"> the index date (date of first opioid dispensing in the database)</w:t>
      </w:r>
    </w:p>
    <w:p w14:paraId="4F6DA32A" w14:textId="6568C323" w:rsidR="008A7031" w:rsidRPr="00817AE2" w:rsidRDefault="0096090E" w:rsidP="0096090E">
      <w:pPr>
        <w:pStyle w:val="ListParagraph"/>
        <w:numPr>
          <w:ilvl w:val="0"/>
          <w:numId w:val="1"/>
        </w:numPr>
        <w:jc w:val="both"/>
        <w:rPr>
          <w:rFonts w:asciiTheme="majorBidi" w:hAnsiTheme="majorBidi" w:cstheme="majorBidi"/>
          <w:sz w:val="24"/>
          <w:szCs w:val="24"/>
        </w:rPr>
      </w:pPr>
      <w:r w:rsidRPr="00817AE2">
        <w:rPr>
          <w:rFonts w:asciiTheme="majorBidi" w:hAnsiTheme="majorBidi" w:cstheme="majorBidi"/>
          <w:sz w:val="24"/>
          <w:szCs w:val="24"/>
        </w:rPr>
        <w:t xml:space="preserve">Pharmacies that consistently supplied data to the </w:t>
      </w:r>
      <w:proofErr w:type="spellStart"/>
      <w:r w:rsidRPr="00817AE2">
        <w:rPr>
          <w:rFonts w:asciiTheme="majorBidi" w:hAnsiTheme="majorBidi" w:cstheme="majorBidi"/>
          <w:sz w:val="24"/>
          <w:szCs w:val="24"/>
        </w:rPr>
        <w:t>LRx</w:t>
      </w:r>
      <w:proofErr w:type="spellEnd"/>
      <w:r w:rsidRPr="00817AE2">
        <w:rPr>
          <w:rFonts w:asciiTheme="majorBidi" w:hAnsiTheme="majorBidi" w:cstheme="majorBidi"/>
          <w:sz w:val="24"/>
          <w:szCs w:val="24"/>
        </w:rPr>
        <w:t xml:space="preserve"> database during the entire study period.</w:t>
      </w:r>
    </w:p>
    <w:p w14:paraId="7A694F1B" w14:textId="77777777" w:rsidR="00CF6D24" w:rsidRDefault="008A7031" w:rsidP="00CF6D24">
      <w:pPr>
        <w:jc w:val="both"/>
        <w:rPr>
          <w:rFonts w:asciiTheme="majorBidi" w:hAnsiTheme="majorBidi" w:cstheme="majorBidi"/>
          <w:sz w:val="24"/>
          <w:szCs w:val="24"/>
        </w:rPr>
      </w:pPr>
      <w:r w:rsidRPr="00817AE2">
        <w:rPr>
          <w:rFonts w:asciiTheme="majorBidi" w:hAnsiTheme="majorBidi" w:cstheme="majorBidi"/>
          <w:i/>
          <w:iCs/>
          <w:sz w:val="24"/>
          <w:szCs w:val="24"/>
        </w:rPr>
        <w:t>Co-prescribing</w:t>
      </w:r>
      <w:r w:rsidRPr="00817AE2">
        <w:rPr>
          <w:rFonts w:asciiTheme="majorBidi" w:hAnsiTheme="majorBidi" w:cstheme="majorBidi"/>
          <w:sz w:val="24"/>
          <w:szCs w:val="24"/>
        </w:rPr>
        <w:t>:</w:t>
      </w:r>
    </w:p>
    <w:p w14:paraId="12F6D80A" w14:textId="5B5E020D" w:rsidR="003246B1" w:rsidRDefault="003246B1" w:rsidP="003246B1">
      <w:pPr>
        <w:jc w:val="both"/>
        <w:rPr>
          <w:rFonts w:asciiTheme="majorBidi" w:hAnsiTheme="majorBidi" w:cstheme="majorBidi"/>
          <w:sz w:val="24"/>
          <w:szCs w:val="24"/>
        </w:rPr>
      </w:pPr>
      <w:r w:rsidRPr="003246B1">
        <w:rPr>
          <w:rFonts w:asciiTheme="majorBidi" w:hAnsiTheme="majorBidi" w:cstheme="majorBidi"/>
          <w:sz w:val="24"/>
          <w:szCs w:val="24"/>
        </w:rPr>
        <w:t xml:space="preserve">Our approach - Co-prescribing can </w:t>
      </w:r>
      <w:r w:rsidRPr="003246B1">
        <w:rPr>
          <w:rFonts w:asciiTheme="majorBidi" w:hAnsiTheme="majorBidi" w:cstheme="majorBidi"/>
          <w:noProof/>
          <w:sz w:val="24"/>
          <w:szCs w:val="24"/>
        </w:rPr>
        <w:t>be defined</w:t>
      </w:r>
      <w:r w:rsidRPr="003246B1">
        <w:rPr>
          <w:rFonts w:asciiTheme="majorBidi" w:hAnsiTheme="majorBidi" w:cstheme="majorBidi"/>
          <w:sz w:val="24"/>
          <w:szCs w:val="24"/>
        </w:rPr>
        <w:t xml:space="preserve"> as physician prescribing both opioids and benzodiazepine in the same prescription. </w:t>
      </w:r>
    </w:p>
    <w:p w14:paraId="20D10946" w14:textId="66096F11" w:rsidR="005E05FE" w:rsidRDefault="005E05FE" w:rsidP="00521B13">
      <w:pPr>
        <w:jc w:val="both"/>
        <w:rPr>
          <w:rFonts w:asciiTheme="majorBidi" w:hAnsiTheme="majorBidi" w:cstheme="majorBidi"/>
          <w:sz w:val="24"/>
          <w:szCs w:val="24"/>
        </w:rPr>
      </w:pPr>
      <w:r>
        <w:rPr>
          <w:rFonts w:asciiTheme="majorBidi" w:hAnsiTheme="majorBidi" w:cstheme="majorBidi"/>
          <w:sz w:val="24"/>
          <w:szCs w:val="24"/>
        </w:rPr>
        <w:t xml:space="preserve">Creating </w:t>
      </w:r>
      <w:r w:rsidR="00AB3CBE" w:rsidRPr="00AB3CBE">
        <w:rPr>
          <w:rFonts w:asciiTheme="majorBidi" w:hAnsiTheme="majorBidi" w:cstheme="majorBidi"/>
          <w:sz w:val="24"/>
          <w:szCs w:val="24"/>
        </w:rPr>
        <w:t xml:space="preserve">interval in which the prescription took effect as the interval starting on the day the </w:t>
      </w:r>
      <w:r w:rsidR="00AB3CBE" w:rsidRPr="003246B1">
        <w:rPr>
          <w:rFonts w:asciiTheme="majorBidi" w:hAnsiTheme="majorBidi" w:cstheme="majorBidi"/>
          <w:noProof/>
          <w:sz w:val="24"/>
          <w:szCs w:val="24"/>
        </w:rPr>
        <w:t>prescription</w:t>
      </w:r>
      <w:r w:rsidR="00AB3CBE" w:rsidRPr="00AB3CBE">
        <w:rPr>
          <w:rFonts w:asciiTheme="majorBidi" w:hAnsiTheme="majorBidi" w:cstheme="majorBidi"/>
          <w:sz w:val="24"/>
          <w:szCs w:val="24"/>
        </w:rPr>
        <w:t xml:space="preserve"> was filled and lasting up to the number of day’s supply provided in the </w:t>
      </w:r>
      <w:r w:rsidR="00AB3CBE" w:rsidRPr="003246B1">
        <w:rPr>
          <w:rFonts w:asciiTheme="majorBidi" w:hAnsiTheme="majorBidi" w:cstheme="majorBidi"/>
          <w:noProof/>
          <w:sz w:val="24"/>
          <w:szCs w:val="24"/>
        </w:rPr>
        <w:t>prescription</w:t>
      </w:r>
      <w:r w:rsidR="00C87305">
        <w:rPr>
          <w:rFonts w:asciiTheme="majorBidi" w:hAnsiTheme="majorBidi" w:cstheme="majorBidi"/>
          <w:sz w:val="24"/>
          <w:szCs w:val="24"/>
        </w:rPr>
        <w:t xml:space="preserve"> for </w:t>
      </w:r>
      <w:r w:rsidR="00C87305" w:rsidRPr="00C87305">
        <w:rPr>
          <w:rFonts w:asciiTheme="majorBidi" w:hAnsiTheme="majorBidi" w:cstheme="majorBidi"/>
          <w:sz w:val="24"/>
          <w:szCs w:val="24"/>
        </w:rPr>
        <w:t>opioid prescription</w:t>
      </w:r>
      <w:r w:rsidR="00C87305">
        <w:rPr>
          <w:rFonts w:asciiTheme="majorBidi" w:hAnsiTheme="majorBidi" w:cstheme="majorBidi"/>
          <w:sz w:val="24"/>
          <w:szCs w:val="24"/>
        </w:rPr>
        <w:t xml:space="preserve"> and </w:t>
      </w:r>
      <w:bookmarkStart w:id="0" w:name="_Hlk527535543"/>
      <w:r w:rsidR="00C87305" w:rsidRPr="00C87305">
        <w:rPr>
          <w:rFonts w:asciiTheme="majorBidi" w:hAnsiTheme="majorBidi" w:cstheme="majorBidi"/>
          <w:sz w:val="24"/>
          <w:szCs w:val="24"/>
        </w:rPr>
        <w:t xml:space="preserve">benzodiazepine </w:t>
      </w:r>
      <w:bookmarkEnd w:id="0"/>
      <w:r w:rsidR="00C87305" w:rsidRPr="00C87305">
        <w:rPr>
          <w:rFonts w:asciiTheme="majorBidi" w:hAnsiTheme="majorBidi" w:cstheme="majorBidi"/>
          <w:sz w:val="24"/>
          <w:szCs w:val="24"/>
        </w:rPr>
        <w:t>prescription</w:t>
      </w:r>
      <w:r w:rsidR="00C87305">
        <w:rPr>
          <w:rFonts w:asciiTheme="majorBidi" w:hAnsiTheme="majorBidi" w:cstheme="majorBidi"/>
          <w:sz w:val="24"/>
          <w:szCs w:val="24"/>
        </w:rPr>
        <w:t xml:space="preserve">. </w:t>
      </w:r>
      <w:r w:rsidR="00967785" w:rsidRPr="00967785">
        <w:rPr>
          <w:rFonts w:asciiTheme="majorBidi" w:hAnsiTheme="majorBidi" w:cstheme="majorBidi"/>
          <w:sz w:val="24"/>
          <w:szCs w:val="24"/>
        </w:rPr>
        <w:t xml:space="preserve">For </w:t>
      </w:r>
      <w:r w:rsidR="00967785" w:rsidRPr="0010753B">
        <w:rPr>
          <w:rFonts w:asciiTheme="majorBidi" w:hAnsiTheme="majorBidi" w:cstheme="majorBidi"/>
          <w:noProof/>
          <w:sz w:val="24"/>
          <w:szCs w:val="24"/>
        </w:rPr>
        <w:t>a baseline analys</w:t>
      </w:r>
      <w:r w:rsidR="0010753B">
        <w:rPr>
          <w:rFonts w:asciiTheme="majorBidi" w:hAnsiTheme="majorBidi" w:cstheme="majorBidi"/>
          <w:noProof/>
          <w:sz w:val="24"/>
          <w:szCs w:val="24"/>
        </w:rPr>
        <w:t>i</w:t>
      </w:r>
      <w:r w:rsidR="00967785" w:rsidRPr="0010753B">
        <w:rPr>
          <w:rFonts w:asciiTheme="majorBidi" w:hAnsiTheme="majorBidi" w:cstheme="majorBidi"/>
          <w:noProof/>
          <w:sz w:val="24"/>
          <w:szCs w:val="24"/>
        </w:rPr>
        <w:t>s</w:t>
      </w:r>
      <w:r w:rsidR="00967785" w:rsidRPr="00967785">
        <w:rPr>
          <w:rFonts w:asciiTheme="majorBidi" w:hAnsiTheme="majorBidi" w:cstheme="majorBidi"/>
          <w:sz w:val="24"/>
          <w:szCs w:val="24"/>
        </w:rPr>
        <w:t xml:space="preserve">, concurrent use </w:t>
      </w:r>
      <w:r w:rsidR="004B0B80" w:rsidRPr="003246B1">
        <w:rPr>
          <w:rFonts w:asciiTheme="majorBidi" w:hAnsiTheme="majorBidi" w:cstheme="majorBidi"/>
          <w:noProof/>
          <w:sz w:val="24"/>
          <w:szCs w:val="24"/>
        </w:rPr>
        <w:t>is defined</w:t>
      </w:r>
      <w:r w:rsidR="004B0B80">
        <w:rPr>
          <w:rFonts w:asciiTheme="majorBidi" w:hAnsiTheme="majorBidi" w:cstheme="majorBidi"/>
          <w:sz w:val="24"/>
          <w:szCs w:val="24"/>
        </w:rPr>
        <w:t xml:space="preserve"> </w:t>
      </w:r>
      <w:r w:rsidR="00967785" w:rsidRPr="00967785">
        <w:rPr>
          <w:rFonts w:asciiTheme="majorBidi" w:hAnsiTheme="majorBidi" w:cstheme="majorBidi"/>
          <w:sz w:val="24"/>
          <w:szCs w:val="24"/>
        </w:rPr>
        <w:t>as having at least one day of overlap in a given calendar year</w:t>
      </w:r>
      <w:r w:rsidR="00521B13">
        <w:rPr>
          <w:rFonts w:asciiTheme="majorBidi" w:hAnsiTheme="majorBidi" w:cstheme="majorBidi"/>
          <w:sz w:val="24"/>
          <w:szCs w:val="24"/>
        </w:rPr>
        <w:t>. A</w:t>
      </w:r>
      <w:r w:rsidR="004B0B80" w:rsidRPr="004B0B80">
        <w:rPr>
          <w:rFonts w:asciiTheme="majorBidi" w:hAnsiTheme="majorBidi" w:cstheme="majorBidi"/>
          <w:sz w:val="24"/>
          <w:szCs w:val="24"/>
        </w:rPr>
        <w:t xml:space="preserve">lternative definitions of </w:t>
      </w:r>
      <w:r w:rsidR="004B0B80" w:rsidRPr="003246B1">
        <w:rPr>
          <w:rFonts w:asciiTheme="majorBidi" w:hAnsiTheme="majorBidi" w:cstheme="majorBidi"/>
          <w:noProof/>
          <w:sz w:val="24"/>
          <w:szCs w:val="24"/>
        </w:rPr>
        <w:t>concurrent</w:t>
      </w:r>
      <w:r w:rsidR="004B0B80" w:rsidRPr="004B0B80">
        <w:rPr>
          <w:rFonts w:asciiTheme="majorBidi" w:hAnsiTheme="majorBidi" w:cstheme="majorBidi"/>
          <w:sz w:val="24"/>
          <w:szCs w:val="24"/>
        </w:rPr>
        <w:t xml:space="preserve"> opioid/baseline </w:t>
      </w:r>
      <w:r w:rsidR="004B0B80">
        <w:rPr>
          <w:rFonts w:asciiTheme="majorBidi" w:hAnsiTheme="majorBidi" w:cstheme="majorBidi"/>
          <w:sz w:val="24"/>
          <w:szCs w:val="24"/>
        </w:rPr>
        <w:t xml:space="preserve">can </w:t>
      </w:r>
      <w:r w:rsidR="004B0B80" w:rsidRPr="0010753B">
        <w:rPr>
          <w:rFonts w:asciiTheme="majorBidi" w:hAnsiTheme="majorBidi" w:cstheme="majorBidi"/>
          <w:noProof/>
          <w:sz w:val="24"/>
          <w:szCs w:val="24"/>
        </w:rPr>
        <w:t>be considered</w:t>
      </w:r>
      <w:r w:rsidR="004B0B80">
        <w:rPr>
          <w:rFonts w:asciiTheme="majorBidi" w:hAnsiTheme="majorBidi" w:cstheme="majorBidi"/>
          <w:sz w:val="24"/>
          <w:szCs w:val="24"/>
        </w:rPr>
        <w:t xml:space="preserve"> in</w:t>
      </w:r>
      <w:r w:rsidR="004B0B80" w:rsidRPr="004B0B80">
        <w:rPr>
          <w:rFonts w:asciiTheme="majorBidi" w:hAnsiTheme="majorBidi" w:cstheme="majorBidi"/>
          <w:sz w:val="24"/>
          <w:szCs w:val="24"/>
        </w:rPr>
        <w:t xml:space="preserve"> sensitivity analyses</w:t>
      </w:r>
      <w:r w:rsidR="00521B13">
        <w:rPr>
          <w:rFonts w:asciiTheme="majorBidi" w:hAnsiTheme="majorBidi" w:cstheme="majorBidi"/>
          <w:sz w:val="24"/>
          <w:szCs w:val="24"/>
        </w:rPr>
        <w:t xml:space="preserve"> </w:t>
      </w:r>
      <w:r w:rsidR="00521B13">
        <w:rPr>
          <w:rFonts w:asciiTheme="majorBidi" w:hAnsiTheme="majorBidi" w:cstheme="majorBidi"/>
          <w:sz w:val="24"/>
          <w:szCs w:val="24"/>
        </w:rPr>
        <w:fldChar w:fldCharType="begin"/>
      </w:r>
      <w:r w:rsidR="00521B13">
        <w:rPr>
          <w:rFonts w:asciiTheme="majorBidi" w:hAnsiTheme="majorBidi" w:cstheme="majorBidi"/>
          <w:sz w:val="24"/>
          <w:szCs w:val="24"/>
        </w:rPr>
        <w:instrText xml:space="preserve"> ADDIN ZOTERO_ITEM CSL_CITATION {"citationID":"XDIt8XAw","properties":{"formattedCitation":"(Sun et al., 2017)","plainCitation":"(Sun et al., 2017)"},"citationItems":[{"id":31,"uris":["http://zotero.org/users/2756963/items/D5AGNJWC"],"uri":["http://zotero.org/users/2756963/items/D5AGNJWC"],"itemData":{"id":31,"type":"article-journal","title":"Association between concurrent use of prescription opioids and benzodiazepines and overdose: retrospective analysis","container-title":"BMJ","page":"j760","volume":"356","source":"www.bmj.com","abstract":"Objectives To identify trends in concurrent use of a benzodiazepine and an opioid and to identify the impact of these trends on admissions to hospital and emergency room visits for opioid overdose.\nDesign Retrospective analysis of claims data, 2001-13.\nSetting Administrative health claims database.\nParticipants 315 428 privately insured people aged 18-64 who were continuously enrolled in a health plan with medical and pharmacy benefits during the study period and who also filled at least one prescription for an opioid.\nInterventions Concurrent benzodiazepine/opioid use, defined as an overlap of at least one day in the time periods covered by prescriptions for each drug.\nMain outcome measures Annual percentage of opioid users with concurrent benzodiazepine use; annual incidence of visits to emergency room and inpatient admissions for opioid overdose.\nResults 9% of opioid users also used a benzodiazepine in 2001, increasing to 17% in 2013 (80% relative increase). This increase was driven mainly by increases among intermittent, as opposed to chronic, opioid users. Compared with opioid users who did not use benzodiazepines, concurrent use of both drugs was associated with an increased risk of an emergency room visit or inpatient admission for opioid overdose (adjusted odds ratio 2.14, 95% confidence interval 2.05 to 2.24; P&lt;0.001) among all opioid users. The adjusted odds ratio for an emergency room visit or inpatient admission for opioid overdose was 1.42 (1.33 to 1.51; P&lt;0.001) for intermittent opioid users and 1.81 (1.67 to 1.96; P&lt;0.001) chronic opioid users. If this association is causal, elimination of concurrent benzodiazepine/opioid use could reduce the risk of emergency room visits related to opioid use and inpatient admissions for opioid overdose by an estimated 15% (95% confidence interval 14 to 16).\nConclusions From 2001 to 2013, concurrent benzodiazepine/opioid use sharply increased in a large sample of privately insured patients in the US and significantly contributed to the overall population risk of opioid overdose.","DOI":"10.1136/bmj.j760","ISSN":"0959-8138, 1756-1833","note":"PMID: 28292769","shortTitle":"Association between concurrent use of prescription opioids and benzodiazepines and overdose","journalAbbreviation":"BMJ","language":"en","author":[{"family":"Sun","given":"Eric C."},{"family":"Dixit","given":"Anjali"},{"family":"Humphreys","given":"Keith"},{"family":"Darnall","given":"Beth D."},{"family":"Baker","given":"Laurence C."},{"family":"Mackey","given":"Sean"}],"issued":{"date-parts":[["2017",3,14]]},"PMID":"28292769"}}],"schema":"https://github.com/citation-style-language/schema/raw/master/csl-citation.json"} </w:instrText>
      </w:r>
      <w:r w:rsidR="00521B13">
        <w:rPr>
          <w:rFonts w:asciiTheme="majorBidi" w:hAnsiTheme="majorBidi" w:cstheme="majorBidi"/>
          <w:sz w:val="24"/>
          <w:szCs w:val="24"/>
        </w:rPr>
        <w:fldChar w:fldCharType="separate"/>
      </w:r>
      <w:r w:rsidR="00521B13" w:rsidRPr="00521B13">
        <w:rPr>
          <w:rFonts w:ascii="Times New Roman" w:hAnsi="Times New Roman" w:cs="Times New Roman"/>
          <w:sz w:val="24"/>
        </w:rPr>
        <w:t>(Sun et al., 2017)</w:t>
      </w:r>
      <w:r w:rsidR="00521B13">
        <w:rPr>
          <w:rFonts w:asciiTheme="majorBidi" w:hAnsiTheme="majorBidi" w:cstheme="majorBidi"/>
          <w:sz w:val="24"/>
          <w:szCs w:val="24"/>
        </w:rPr>
        <w:fldChar w:fldCharType="end"/>
      </w:r>
      <w:r w:rsidR="004B0B80">
        <w:rPr>
          <w:rFonts w:asciiTheme="majorBidi" w:hAnsiTheme="majorBidi" w:cstheme="majorBidi"/>
          <w:sz w:val="24"/>
          <w:szCs w:val="24"/>
        </w:rPr>
        <w:t>.</w:t>
      </w:r>
      <w:bookmarkStart w:id="1" w:name="_GoBack"/>
      <w:bookmarkEnd w:id="1"/>
    </w:p>
    <w:p w14:paraId="40085FD9" w14:textId="7DF5E004" w:rsidR="00A63CFE" w:rsidRDefault="00A63CFE" w:rsidP="00A63CFE">
      <w:pPr>
        <w:pStyle w:val="Default"/>
        <w:jc w:val="both"/>
        <w:rPr>
          <w:rFonts w:asciiTheme="majorBidi" w:hAnsiTheme="majorBidi" w:cstheme="majorBidi"/>
        </w:rPr>
      </w:pPr>
      <w:r>
        <w:rPr>
          <w:rFonts w:asciiTheme="majorBidi" w:hAnsiTheme="majorBidi" w:cstheme="majorBidi"/>
        </w:rPr>
        <w:t>Special cases:</w:t>
      </w:r>
    </w:p>
    <w:p w14:paraId="522A5B64" w14:textId="02D93860" w:rsidR="00991084" w:rsidRDefault="00403993" w:rsidP="00A63CFE">
      <w:pPr>
        <w:pStyle w:val="Default"/>
        <w:numPr>
          <w:ilvl w:val="0"/>
          <w:numId w:val="2"/>
        </w:numPr>
        <w:jc w:val="both"/>
        <w:rPr>
          <w:rFonts w:asciiTheme="majorBidi" w:hAnsiTheme="majorBidi" w:cstheme="majorBidi"/>
        </w:rPr>
      </w:pPr>
      <w:r w:rsidRPr="00403993">
        <w:rPr>
          <w:rFonts w:asciiTheme="majorBidi" w:hAnsiTheme="majorBidi" w:cstheme="majorBidi"/>
        </w:rPr>
        <w:t>Buprenorphine products are listed but do not have an associated MME conversion factor. These buprenorphine products, as partial opioid agonists, are not expected to be associated with</w:t>
      </w:r>
      <w:r w:rsidR="00A63CFE">
        <w:rPr>
          <w:rFonts w:asciiTheme="majorBidi" w:hAnsiTheme="majorBidi" w:cstheme="majorBidi"/>
        </w:rPr>
        <w:t xml:space="preserve"> </w:t>
      </w:r>
      <w:r w:rsidRPr="00403993">
        <w:rPr>
          <w:rFonts w:asciiTheme="majorBidi" w:hAnsiTheme="majorBidi" w:cstheme="majorBidi"/>
        </w:rPr>
        <w:t xml:space="preserve">overdose risk in the same dose-dependent manner as doses for full agonist opioids.  </w:t>
      </w:r>
    </w:p>
    <w:p w14:paraId="625460A3" w14:textId="4100FF39" w:rsidR="00A63CFE" w:rsidRDefault="00A63CFE" w:rsidP="00A63CFE">
      <w:pPr>
        <w:pStyle w:val="Default"/>
        <w:numPr>
          <w:ilvl w:val="0"/>
          <w:numId w:val="2"/>
        </w:numPr>
        <w:jc w:val="both"/>
        <w:rPr>
          <w:rFonts w:asciiTheme="majorBidi" w:hAnsiTheme="majorBidi" w:cstheme="majorBidi"/>
        </w:rPr>
      </w:pPr>
      <w:r>
        <w:rPr>
          <w:rFonts w:asciiTheme="majorBidi" w:hAnsiTheme="majorBidi" w:cstheme="majorBidi"/>
        </w:rPr>
        <w:t>M</w:t>
      </w:r>
      <w:r w:rsidRPr="00A63CFE">
        <w:rPr>
          <w:rFonts w:asciiTheme="majorBidi" w:hAnsiTheme="majorBidi" w:cstheme="majorBidi"/>
        </w:rPr>
        <w:t>ethadone</w:t>
      </w:r>
    </w:p>
    <w:p w14:paraId="03208772" w14:textId="11F8C715" w:rsidR="007475B4" w:rsidRDefault="007475B4" w:rsidP="007475B4">
      <w:pPr>
        <w:pStyle w:val="Default"/>
        <w:jc w:val="both"/>
        <w:rPr>
          <w:rFonts w:asciiTheme="majorBidi" w:hAnsiTheme="majorBidi" w:cstheme="majorBidi"/>
        </w:rPr>
      </w:pPr>
    </w:p>
    <w:p w14:paraId="0FFA199F" w14:textId="645D757B" w:rsidR="007475B4" w:rsidRPr="00847377" w:rsidRDefault="007475B4" w:rsidP="007475B4">
      <w:pPr>
        <w:pStyle w:val="Default"/>
        <w:jc w:val="both"/>
        <w:rPr>
          <w:rFonts w:asciiTheme="majorBidi" w:hAnsiTheme="majorBidi" w:cstheme="majorBidi"/>
          <w:i/>
          <w:iCs/>
        </w:rPr>
      </w:pPr>
      <w:r w:rsidRPr="00847377">
        <w:rPr>
          <w:rFonts w:asciiTheme="majorBidi" w:hAnsiTheme="majorBidi" w:cstheme="majorBidi"/>
          <w:i/>
          <w:iCs/>
        </w:rPr>
        <w:t>References</w:t>
      </w:r>
    </w:p>
    <w:p w14:paraId="4C389255" w14:textId="19EDE62F" w:rsidR="00707051" w:rsidRPr="00707051" w:rsidRDefault="00707051" w:rsidP="00707051">
      <w:pPr>
        <w:pStyle w:val="Bibliography"/>
        <w:rPr>
          <w:rFonts w:ascii="Times New Roman" w:hAnsi="Times New Roman" w:cs="Times New Roman"/>
          <w:sz w:val="24"/>
        </w:rPr>
      </w:pPr>
      <w:r>
        <w:rPr>
          <w:rFonts w:asciiTheme="majorBidi" w:hAnsiTheme="majorBidi" w:cstheme="majorBidi"/>
        </w:rPr>
        <w:fldChar w:fldCharType="begin"/>
      </w:r>
      <w:r>
        <w:rPr>
          <w:rFonts w:asciiTheme="majorBidi" w:hAnsiTheme="majorBidi" w:cstheme="majorBidi"/>
        </w:rPr>
        <w:instrText xml:space="preserve"> ADDIN ZOTERO_BIBL {"custom":[]} CSL_BIBLIOGRAPHY </w:instrText>
      </w:r>
      <w:r>
        <w:rPr>
          <w:rFonts w:asciiTheme="majorBidi" w:hAnsiTheme="majorBidi" w:cstheme="majorBidi"/>
        </w:rPr>
        <w:fldChar w:fldCharType="separate"/>
      </w:r>
      <w:r w:rsidRPr="00707051">
        <w:rPr>
          <w:rFonts w:ascii="Times New Roman" w:hAnsi="Times New Roman" w:cs="Times New Roman"/>
          <w:sz w:val="24"/>
        </w:rPr>
        <w:t xml:space="preserve">Cepeda, M. S., Fife, D., Chow, W., Mastrogiovanni, G., &amp; Henderson, S. C. (2012). </w:t>
      </w:r>
      <w:r w:rsidRPr="003246B1">
        <w:rPr>
          <w:rFonts w:ascii="Times New Roman" w:hAnsi="Times New Roman" w:cs="Times New Roman"/>
          <w:noProof/>
          <w:sz w:val="24"/>
        </w:rPr>
        <w:t>Assessing opioid shopping behavior: a large cohort study from a medication dispensing database in the US.</w:t>
      </w:r>
      <w:r w:rsidRPr="00707051">
        <w:rPr>
          <w:rFonts w:ascii="Times New Roman" w:hAnsi="Times New Roman" w:cs="Times New Roman"/>
          <w:sz w:val="24"/>
        </w:rPr>
        <w:t xml:space="preserve"> </w:t>
      </w:r>
      <w:r w:rsidRPr="00707051">
        <w:rPr>
          <w:rFonts w:ascii="Times New Roman" w:hAnsi="Times New Roman" w:cs="Times New Roman"/>
          <w:i/>
          <w:iCs/>
          <w:sz w:val="24"/>
        </w:rPr>
        <w:t>Drug Safety</w:t>
      </w:r>
      <w:r w:rsidRPr="00707051">
        <w:rPr>
          <w:rFonts w:ascii="Times New Roman" w:hAnsi="Times New Roman" w:cs="Times New Roman"/>
          <w:sz w:val="24"/>
        </w:rPr>
        <w:t xml:space="preserve">, </w:t>
      </w:r>
      <w:r w:rsidRPr="00707051">
        <w:rPr>
          <w:rFonts w:ascii="Times New Roman" w:hAnsi="Times New Roman" w:cs="Times New Roman"/>
          <w:i/>
          <w:iCs/>
          <w:sz w:val="24"/>
        </w:rPr>
        <w:t>35</w:t>
      </w:r>
      <w:r w:rsidRPr="00707051">
        <w:rPr>
          <w:rFonts w:ascii="Times New Roman" w:hAnsi="Times New Roman" w:cs="Times New Roman"/>
          <w:sz w:val="24"/>
        </w:rPr>
        <w:t>(4), 325–334. https://doi.org/10.2165/11596600-000000000-00000</w:t>
      </w:r>
    </w:p>
    <w:p w14:paraId="31529EEC" w14:textId="77777777" w:rsidR="00707051" w:rsidRPr="00707051" w:rsidRDefault="00707051" w:rsidP="00707051">
      <w:pPr>
        <w:pStyle w:val="Bibliography"/>
        <w:rPr>
          <w:rFonts w:ascii="Times New Roman" w:hAnsi="Times New Roman" w:cs="Times New Roman"/>
          <w:sz w:val="24"/>
        </w:rPr>
      </w:pPr>
      <w:r w:rsidRPr="00707051">
        <w:rPr>
          <w:rFonts w:ascii="Times New Roman" w:hAnsi="Times New Roman" w:cs="Times New Roman"/>
          <w:sz w:val="24"/>
        </w:rPr>
        <w:t xml:space="preserve">Cepeda, M. S., Fife, D., Chow, W., Mastrogiovanni, G., &amp; Henderson, S. C. (2013). Opioid shopping behavior: how often, how soon, which drugs, and what payment method. </w:t>
      </w:r>
      <w:r w:rsidRPr="00707051">
        <w:rPr>
          <w:rFonts w:ascii="Times New Roman" w:hAnsi="Times New Roman" w:cs="Times New Roman"/>
          <w:i/>
          <w:iCs/>
          <w:sz w:val="24"/>
        </w:rPr>
        <w:t>Journal of Clinical Pharmacology</w:t>
      </w:r>
      <w:r w:rsidRPr="00707051">
        <w:rPr>
          <w:rFonts w:ascii="Times New Roman" w:hAnsi="Times New Roman" w:cs="Times New Roman"/>
          <w:sz w:val="24"/>
        </w:rPr>
        <w:t xml:space="preserve">, </w:t>
      </w:r>
      <w:r w:rsidRPr="00707051">
        <w:rPr>
          <w:rFonts w:ascii="Times New Roman" w:hAnsi="Times New Roman" w:cs="Times New Roman"/>
          <w:i/>
          <w:iCs/>
          <w:sz w:val="24"/>
        </w:rPr>
        <w:t>53</w:t>
      </w:r>
      <w:r w:rsidRPr="00707051">
        <w:rPr>
          <w:rFonts w:ascii="Times New Roman" w:hAnsi="Times New Roman" w:cs="Times New Roman"/>
          <w:sz w:val="24"/>
        </w:rPr>
        <w:t>(1), 112–117. https://doi.org/10.1177/0091270012436561</w:t>
      </w:r>
    </w:p>
    <w:p w14:paraId="49A7879F" w14:textId="77777777" w:rsidR="00707051" w:rsidRPr="00707051" w:rsidRDefault="00707051" w:rsidP="00707051">
      <w:pPr>
        <w:pStyle w:val="Bibliography"/>
        <w:rPr>
          <w:rFonts w:ascii="Times New Roman" w:hAnsi="Times New Roman" w:cs="Times New Roman"/>
          <w:sz w:val="24"/>
        </w:rPr>
      </w:pPr>
      <w:r w:rsidRPr="00707051">
        <w:rPr>
          <w:rFonts w:ascii="Times New Roman" w:hAnsi="Times New Roman" w:cs="Times New Roman"/>
          <w:sz w:val="24"/>
        </w:rPr>
        <w:lastRenderedPageBreak/>
        <w:t xml:space="preserve">Sun, E. C., Dixit, A., Humphreys, K., Darnall, B. D., Baker, L. C., &amp; Mackey, S. (2017). Association between concurrent use of prescription opioids and benzodiazepines and overdose: </w:t>
      </w:r>
      <w:r w:rsidRPr="003246B1">
        <w:rPr>
          <w:rFonts w:ascii="Times New Roman" w:hAnsi="Times New Roman" w:cs="Times New Roman"/>
          <w:noProof/>
          <w:sz w:val="24"/>
        </w:rPr>
        <w:t>retrospective</w:t>
      </w:r>
      <w:r w:rsidRPr="00707051">
        <w:rPr>
          <w:rFonts w:ascii="Times New Roman" w:hAnsi="Times New Roman" w:cs="Times New Roman"/>
          <w:sz w:val="24"/>
        </w:rPr>
        <w:t xml:space="preserve"> analysis. </w:t>
      </w:r>
      <w:r w:rsidRPr="00707051">
        <w:rPr>
          <w:rFonts w:ascii="Times New Roman" w:hAnsi="Times New Roman" w:cs="Times New Roman"/>
          <w:i/>
          <w:iCs/>
          <w:sz w:val="24"/>
        </w:rPr>
        <w:t>BMJ</w:t>
      </w:r>
      <w:r w:rsidRPr="00707051">
        <w:rPr>
          <w:rFonts w:ascii="Times New Roman" w:hAnsi="Times New Roman" w:cs="Times New Roman"/>
          <w:sz w:val="24"/>
        </w:rPr>
        <w:t xml:space="preserve">, </w:t>
      </w:r>
      <w:r w:rsidRPr="00707051">
        <w:rPr>
          <w:rFonts w:ascii="Times New Roman" w:hAnsi="Times New Roman" w:cs="Times New Roman"/>
          <w:i/>
          <w:iCs/>
          <w:sz w:val="24"/>
        </w:rPr>
        <w:t>356</w:t>
      </w:r>
      <w:r w:rsidRPr="00707051">
        <w:rPr>
          <w:rFonts w:ascii="Times New Roman" w:hAnsi="Times New Roman" w:cs="Times New Roman"/>
          <w:sz w:val="24"/>
        </w:rPr>
        <w:t>, j760. https://doi.org/10.1136/bmj.j760</w:t>
      </w:r>
    </w:p>
    <w:p w14:paraId="57EEA230" w14:textId="22DA9A54" w:rsidR="007475B4" w:rsidRPr="00A63CFE" w:rsidRDefault="00707051" w:rsidP="00521B13">
      <w:pPr>
        <w:pStyle w:val="Default"/>
        <w:jc w:val="both"/>
        <w:rPr>
          <w:rFonts w:asciiTheme="majorBidi" w:hAnsiTheme="majorBidi" w:cstheme="majorBidi"/>
        </w:rPr>
      </w:pPr>
      <w:r>
        <w:rPr>
          <w:rFonts w:asciiTheme="majorBidi" w:hAnsiTheme="majorBidi" w:cstheme="majorBidi"/>
        </w:rPr>
        <w:fldChar w:fldCharType="end"/>
      </w:r>
    </w:p>
    <w:sectPr w:rsidR="007475B4" w:rsidRPr="00A63C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6D2D9" w14:textId="77777777" w:rsidR="0039252A" w:rsidRDefault="0039252A" w:rsidP="00847377">
      <w:pPr>
        <w:spacing w:after="0" w:line="240" w:lineRule="auto"/>
      </w:pPr>
      <w:r>
        <w:separator/>
      </w:r>
    </w:p>
  </w:endnote>
  <w:endnote w:type="continuationSeparator" w:id="0">
    <w:p w14:paraId="3EDF6B77" w14:textId="77777777" w:rsidR="0039252A" w:rsidRDefault="0039252A" w:rsidP="00847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vTime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61B58" w14:textId="77777777" w:rsidR="0039252A" w:rsidRDefault="0039252A" w:rsidP="00847377">
      <w:pPr>
        <w:spacing w:after="0" w:line="240" w:lineRule="auto"/>
      </w:pPr>
      <w:r>
        <w:separator/>
      </w:r>
    </w:p>
  </w:footnote>
  <w:footnote w:type="continuationSeparator" w:id="0">
    <w:p w14:paraId="0DCEB9B9" w14:textId="77777777" w:rsidR="0039252A" w:rsidRDefault="0039252A" w:rsidP="008473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E1A84"/>
    <w:multiLevelType w:val="hybridMultilevel"/>
    <w:tmpl w:val="F3E09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9F7EED"/>
    <w:multiLevelType w:val="hybridMultilevel"/>
    <w:tmpl w:val="5AE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7C5345"/>
    <w:multiLevelType w:val="hybridMultilevel"/>
    <w:tmpl w:val="43EC4B0C"/>
    <w:lvl w:ilvl="0" w:tplc="3FBA1A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GwtLAwMzYwNTMxMLBQ0lEKTi0uzszPAykwrwUAYyGHbywAAAA="/>
  </w:docVars>
  <w:rsids>
    <w:rsidRoot w:val="00991084"/>
    <w:rsid w:val="00011E7F"/>
    <w:rsid w:val="00086782"/>
    <w:rsid w:val="000B2EC8"/>
    <w:rsid w:val="0010753B"/>
    <w:rsid w:val="00140D00"/>
    <w:rsid w:val="00153DF3"/>
    <w:rsid w:val="002D088E"/>
    <w:rsid w:val="0030597F"/>
    <w:rsid w:val="003246B1"/>
    <w:rsid w:val="0039252A"/>
    <w:rsid w:val="003E41E9"/>
    <w:rsid w:val="00403993"/>
    <w:rsid w:val="004B0B80"/>
    <w:rsid w:val="005120F2"/>
    <w:rsid w:val="00521B13"/>
    <w:rsid w:val="005D2D7C"/>
    <w:rsid w:val="005E05FE"/>
    <w:rsid w:val="006278DA"/>
    <w:rsid w:val="00644863"/>
    <w:rsid w:val="00707051"/>
    <w:rsid w:val="00707ADB"/>
    <w:rsid w:val="007475B4"/>
    <w:rsid w:val="0075568E"/>
    <w:rsid w:val="007754BA"/>
    <w:rsid w:val="007E403F"/>
    <w:rsid w:val="00817AE2"/>
    <w:rsid w:val="00827A24"/>
    <w:rsid w:val="00847377"/>
    <w:rsid w:val="008A64B0"/>
    <w:rsid w:val="008A7031"/>
    <w:rsid w:val="008D575E"/>
    <w:rsid w:val="008E2887"/>
    <w:rsid w:val="008F767F"/>
    <w:rsid w:val="00917349"/>
    <w:rsid w:val="0096090E"/>
    <w:rsid w:val="00967785"/>
    <w:rsid w:val="00991084"/>
    <w:rsid w:val="00A2471A"/>
    <w:rsid w:val="00A63CFE"/>
    <w:rsid w:val="00AB3CBE"/>
    <w:rsid w:val="00B64340"/>
    <w:rsid w:val="00B7097D"/>
    <w:rsid w:val="00B81304"/>
    <w:rsid w:val="00BE44C6"/>
    <w:rsid w:val="00C87305"/>
    <w:rsid w:val="00C95A74"/>
    <w:rsid w:val="00C95C0D"/>
    <w:rsid w:val="00CA22EC"/>
    <w:rsid w:val="00CD05EA"/>
    <w:rsid w:val="00CD3349"/>
    <w:rsid w:val="00CF2376"/>
    <w:rsid w:val="00CF6D24"/>
    <w:rsid w:val="00D03C9D"/>
    <w:rsid w:val="00D35349"/>
    <w:rsid w:val="00D77067"/>
    <w:rsid w:val="00DD28CD"/>
    <w:rsid w:val="00F44EC1"/>
    <w:rsid w:val="00FB5861"/>
    <w:rsid w:val="00FD0D82"/>
    <w:rsid w:val="00FE08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8C5C9"/>
  <w15:chartTrackingRefBased/>
  <w15:docId w15:val="{5FD01614-871C-4F6B-A633-E06C83620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90E"/>
    <w:pPr>
      <w:ind w:left="720"/>
      <w:contextualSpacing/>
    </w:pPr>
  </w:style>
  <w:style w:type="paragraph" w:customStyle="1" w:styleId="Default">
    <w:name w:val="Default"/>
    <w:rsid w:val="00403993"/>
    <w:pPr>
      <w:autoSpaceDE w:val="0"/>
      <w:autoSpaceDN w:val="0"/>
      <w:adjustRightInd w:val="0"/>
      <w:spacing w:after="0" w:line="240" w:lineRule="auto"/>
    </w:pPr>
    <w:rPr>
      <w:rFonts w:ascii="Calibri" w:hAnsi="Calibri" w:cs="Calibri"/>
      <w:color w:val="000000"/>
      <w:sz w:val="24"/>
      <w:szCs w:val="24"/>
    </w:rPr>
  </w:style>
  <w:style w:type="paragraph" w:styleId="Bibliography">
    <w:name w:val="Bibliography"/>
    <w:basedOn w:val="Normal"/>
    <w:next w:val="Normal"/>
    <w:uiPriority w:val="37"/>
    <w:unhideWhenUsed/>
    <w:rsid w:val="00707051"/>
    <w:pPr>
      <w:spacing w:after="0" w:line="480" w:lineRule="auto"/>
      <w:ind w:left="720" w:hanging="720"/>
    </w:pPr>
  </w:style>
  <w:style w:type="paragraph" w:styleId="Header">
    <w:name w:val="header"/>
    <w:basedOn w:val="Normal"/>
    <w:link w:val="HeaderChar"/>
    <w:uiPriority w:val="99"/>
    <w:unhideWhenUsed/>
    <w:rsid w:val="008473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377"/>
  </w:style>
  <w:style w:type="paragraph" w:styleId="Footer">
    <w:name w:val="footer"/>
    <w:basedOn w:val="Normal"/>
    <w:link w:val="FooterChar"/>
    <w:uiPriority w:val="99"/>
    <w:unhideWhenUsed/>
    <w:rsid w:val="008473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55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BE8FC-A156-4C8E-80C8-3C28C8264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3</Pages>
  <Words>1935</Words>
  <Characters>11033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dc:creator>
  <cp:keywords/>
  <dc:description/>
  <cp:lastModifiedBy>Ella</cp:lastModifiedBy>
  <cp:revision>55</cp:revision>
  <dcterms:created xsi:type="dcterms:W3CDTF">2018-10-15T17:41:00Z</dcterms:created>
  <dcterms:modified xsi:type="dcterms:W3CDTF">2018-10-21T16:07:00Z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id="pmRT5iqT"/&gt;&lt;style id="http://www.zotero.org/styles/apa" locale="en-US"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