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8249" w14:textId="77777777" w:rsidR="006D0091" w:rsidRPr="006D0091" w:rsidRDefault="006D0091" w:rsidP="006D0091">
      <w:r w:rsidRPr="006D0091">
        <w:t>"To account for structural economic heterogeneity among OIC member states, the final panel (N=37) was stratified into two distinct sub-samples based on the World Bank’s Historical Country and Lending Groups classifications for the 2015–2023 period. To maintain longitudinal stability across the panel, each cross-section was assigned a fixed classification reflecting its most frequent income status (the mode) during the 9-year timeframe.</w:t>
      </w:r>
    </w:p>
    <w:p w14:paraId="4D13E38A" w14:textId="77777777" w:rsidR="006D0091" w:rsidRPr="006D0091" w:rsidRDefault="006D0091" w:rsidP="006D0091">
      <w:r w:rsidRPr="006D0091">
        <w:t xml:space="preserve">A dummy variable (Income_Level) was created, assigning a value of </w:t>
      </w:r>
      <w:r w:rsidRPr="006D0091">
        <w:rPr>
          <w:b/>
          <w:bCs/>
        </w:rPr>
        <w:t>(1)</w:t>
      </w:r>
      <w:r w:rsidRPr="006D0091">
        <w:t xml:space="preserve"> to High and Upper-Middle Income economies, which include 11 countries: Albania, Bahrain, Guyana, Iraq, Jordan, Malaysia, Maldives, Qatar, Saudi Arabia, Türkiye, and the United Arab Emirates. Conversely, a value of </w:t>
      </w:r>
      <w:r w:rsidRPr="006D0091">
        <w:rPr>
          <w:b/>
          <w:bCs/>
        </w:rPr>
        <w:t>(0)</w:t>
      </w:r>
      <w:r w:rsidRPr="006D0091">
        <w:t xml:space="preserve"> was assigned to Low and Lower-Middle Income economies, comprising 26 countries: Algeria, Bangladesh, Benin, Burkina Faso, Cameroon, Chad, Comoros, Cote d'Ivoire, Djibouti, Egypt, Gambia, Guinea, Guinea-Bissau, Indonesia, Mali, Mauritania, Morocco, Mozambique, Niger, Nigeria, Pakistan, Palestine, Senegal, Togo, Tunisia, and Uganda. The historical classification matrix was directly sourced from the World Bank Data Help Desk (World Bank, 2024)."</w:t>
      </w:r>
    </w:p>
    <w:p w14:paraId="0F0D07BE" w14:textId="5572AC64" w:rsidR="006D0091" w:rsidRPr="006D0091" w:rsidRDefault="006D0091" w:rsidP="006D0091">
      <w:pPr>
        <w:rPr>
          <w:b/>
          <w:bCs/>
        </w:rPr>
      </w:pPr>
      <w:r w:rsidRPr="006D0091">
        <w:rPr>
          <w:b/>
          <w:bCs/>
        </w:rPr>
        <w:t>References):</w:t>
      </w:r>
    </w:p>
    <w:p w14:paraId="01EEB900" w14:textId="77777777" w:rsidR="006D0091" w:rsidRPr="006D0091" w:rsidRDefault="006D0091" w:rsidP="006D0091">
      <w:r w:rsidRPr="006D0091">
        <w:rPr>
          <w:b/>
          <w:bCs/>
        </w:rPr>
        <w:t>World Bank. (2024).</w:t>
      </w:r>
      <w:r w:rsidRPr="006D0091">
        <w:t xml:space="preserve"> </w:t>
      </w:r>
      <w:r w:rsidRPr="006D0091">
        <w:rPr>
          <w:i/>
          <w:iCs/>
        </w:rPr>
        <w:t>World Bank Country and Lending Groups: Historical Classifications</w:t>
      </w:r>
      <w:r w:rsidRPr="006D0091">
        <w:t xml:space="preserve">. World Bank Data Help Desk. Retrieved from: </w:t>
      </w:r>
      <w:hyperlink r:id="rId4" w:tgtFrame="_blank" w:history="1">
        <w:r w:rsidRPr="006D0091">
          <w:rPr>
            <w:rStyle w:val="Hyperlink"/>
          </w:rPr>
          <w:t>https://datahelpdesk.worldbank.org/knowledgebase/articles/906519-world-bank-country-and-lending-groups</w:t>
        </w:r>
      </w:hyperlink>
    </w:p>
    <w:p w14:paraId="09E163B3" w14:textId="77777777" w:rsidR="00D550D1" w:rsidRDefault="00D550D1"/>
    <w:sectPr w:rsidR="00D5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D1"/>
    <w:rsid w:val="00161953"/>
    <w:rsid w:val="006D0091"/>
    <w:rsid w:val="00A73262"/>
    <w:rsid w:val="00D5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DFDF"/>
  <w15:chartTrackingRefBased/>
  <w15:docId w15:val="{3033E03A-7A57-4F88-A81A-2852B47D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0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helpdesk.worldbank.org/knowledgebase/articles/906519-world-bank-country-and-lending-grou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 BASHAR HUSSEIN AL-HAFIDH</dc:creator>
  <cp:keywords/>
  <dc:description/>
  <cp:lastModifiedBy>NASSAR BASHAR HUSSEIN AL-HAFIDH</cp:lastModifiedBy>
  <cp:revision>3</cp:revision>
  <dcterms:created xsi:type="dcterms:W3CDTF">2026-06-20T20:32:00Z</dcterms:created>
  <dcterms:modified xsi:type="dcterms:W3CDTF">2026-06-20T20:33:00Z</dcterms:modified>
</cp:coreProperties>
</file>