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B6070"/>
          <w:spacing w:val="40"/>
          <w:sz w:val="20"/>
          <w:szCs w:val="20"/>
        </w:rPr>
        <w:t xml:space="preserve">BITÁCORA DE USO DE IA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A2230"/>
          <w:sz w:val="52"/>
          <w:szCs w:val="52"/>
        </w:rPr>
        <w:t xml:space="preserve">ReviewPulse-Agent</w:t>
      </w:r>
    </w:p>
    <w:p>
      <w:pPr>
        <w:spacing w:after="240"/>
      </w:pPr>
      <w:r>
        <w:rPr>
          <w:rFonts w:ascii="Calibri" w:cs="Calibri" w:eastAsia="Calibri" w:hAnsi="Calibri"/>
          <w:color w:val="6B6070"/>
          <w:sz w:val="26"/>
          <w:szCs w:val="26"/>
        </w:rPr>
        <w:t xml:space="preserve">Tarea 3 · Implementación y pruebas de un agente inteligente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shd w:fill="F9E4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2230"/>
                <w:sz w:val="20"/>
                <w:szCs w:val="20"/>
              </w:rPr>
              <w:t xml:space="preserve">Dato</w:t>
            </w:r>
          </w:p>
        </w:tc>
        <w:tc>
          <w:tcPr>
            <w:tcW w:type="dxa" w:w="696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shd w:fill="F9E4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2230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20"/>
                <w:szCs w:val="20"/>
              </w:rPr>
              <w:t xml:space="preserve">Curso</w:t>
            </w:r>
          </w:p>
        </w:tc>
        <w:tc>
          <w:tcPr>
            <w:tcW w:type="dxa" w:w="696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20"/>
                <w:szCs w:val="20"/>
              </w:rPr>
              <w:t xml:space="preserve">Inteligencia Artificial, Universidad Tecnológica de Bolívar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96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20"/>
                <w:szCs w:val="20"/>
              </w:rPr>
              <w:t xml:space="preserve">Ellen Nicole Ordoñez Chavez (T00079685) y Sara Bastidas Triana (T00081674)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96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20"/>
                <w:szCs w:val="20"/>
              </w:rPr>
              <w:t xml:space="preserve">Claude (Anthropic), en la aplicación Claude: Claude Opus 5.5 en las sesiones del 15 de octubre y Claude Sonnet 5.5 en las del 17 y 18 de octubre de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20"/>
                <w:szCs w:val="20"/>
              </w:rPr>
              <w:t xml:space="preserve">Agente implementado</w:t>
            </w:r>
          </w:p>
        </w:tc>
        <w:tc>
          <w:tcPr>
            <w:tcW w:type="dxa" w:w="696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20"/>
                <w:szCs w:val="20"/>
              </w:rPr>
              <w:t xml:space="preserve">ReviewPulse-Agent (análisis de sentimientos en reseñas de hotel), elegido frente a RetainIQ-Agent con la matriz de decisión de la Fase 1</w:t>
            </w:r>
          </w:p>
        </w:tc>
      </w:tr>
    </w:tbl>
    <w:p>
      <w:pPr>
        <w:pStyle w:val="Heading1"/>
        <w:pBdr>
          <w:bottom w:val="single" w:color="D9CFC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A2230"/>
          <w:sz w:val="28"/>
          <w:szCs w:val="28"/>
        </w:rPr>
        <w:t xml:space="preserve">1. Alcance del uso de la IA</w:t>
      </w:r>
    </w:p>
    <w:p>
      <w:pPr>
        <w:spacing w:after="120" w:line="288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>La IA generativa se utilizó como asistente de desarrollo durante las tres fases de la tarea. A partir del enunciado y de los dos documentos de diseño de la Tarea 2, generó el borrador inicial de la matriz de decisión, del código del agente y del simulador, de las pruebas y de los diagramas, y colaboró en la redacción del documento ajustado. Después se usó para revisar el paquete completo, ejecutarlo, corregir fallas y rediseñar la interfaz.</w:t>
      </w:r>
    </w:p>
    <w:p>
      <w:pPr>
        <w:spacing w:after="120" w:line="288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>El agente </w:t>
      </w:r>
      <w:r>
        <w:rPr>
          <w:rFonts w:ascii="Calibri" w:cs="Calibri" w:eastAsia="Calibri" w:hAnsi="Calibri"/>
          <w:b/>
          <w:bCs/>
          <w:color w:val="2A2230"/>
          <w:sz w:val="22"/>
          <w:szCs w:val="22"/>
        </w:rPr>
        <w:t xml:space="preserve">no llama a ningún modelo de lenguaje cuando se ejecuta</w:t>
      </w:r>
      <w:r>
        <w:rPr>
          <w:rFonts w:ascii="Calibri" w:cs="Calibri" w:eastAsia="Calibri" w:hAnsi="Calibri"/>
          <w:color w:val="2A2230"/>
          <w:sz w:val="22"/>
          <w:szCs w:val="22"/>
        </w:rPr>
        <w:t xml:space="preserve">: ninguna de sus decisiones depende de un LLM. La clasificación la hace un modelo de scikit-learn (TF-IDF, un léxico de sentimiento con negación y regresión logística) entrenado con un corpus simulado; la planificación, la regla de alerta, los reportes y la memoria son código propio del proyecto.</w:t>
      </w:r>
    </w:p>
    <w:p>
      <w:pPr>
        <w:sectPr>
          <w:footerReference w:type="default" r:id="rId7"/>
          <w:pgSz w:w="12240" w:h="15840" w:orient="portrait"/>
          <w:pgMar w:top="1200" w:right="1440" w:bottom="110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9CFC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A2230"/>
          <w:sz w:val="28"/>
          <w:szCs w:val="28"/>
        </w:rPr>
        <w:t xml:space="preserve">2. Registro de sesiones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000"/>
        <w:gridCol w:w="1180"/>
        <w:gridCol w:w="2250"/>
        <w:gridCol w:w="3200"/>
        <w:gridCol w:w="2250"/>
        <w:gridCol w:w="3420"/>
      </w:tblGrid>
      <w:tr>
        <w:trPr>
          <w:tblHeader/>
        </w:trPr>
        <w:tc>
          <w:tcPr>
            <w:tcW w:type="dxa" w:w="3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shd w:fill="F9E4E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2230"/>
                <w:sz w:val="16"/>
                <w:szCs w:val="16"/>
              </w:rPr>
              <w:t xml:space="preserve">#</w:t>
            </w:r>
          </w:p>
        </w:tc>
        <w:tc>
          <w:tcPr>
            <w:tcW w:type="dxa" w:w="10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shd w:fill="F9E4E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2230"/>
                <w:sz w:val="16"/>
                <w:szCs w:val="16"/>
              </w:rPr>
              <w:t xml:space="preserve">Fecha</w:t>
            </w:r>
          </w:p>
        </w:tc>
        <w:tc>
          <w:tcPr>
            <w:tcW w:type="dxa" w:w="11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shd w:fill="F9E4E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2230"/>
                <w:sz w:val="16"/>
                <w:szCs w:val="16"/>
              </w:rPr>
              <w:t xml:space="preserve">Fase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shd w:fill="F9E4E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2230"/>
                <w:sz w:val="16"/>
                <w:szCs w:val="16"/>
              </w:rPr>
              <w:t xml:space="preserve">Qué se pidió a la IA</w:t>
            </w:r>
          </w:p>
        </w:tc>
        <w:tc>
          <w:tcPr>
            <w:tcW w:type="dxa" w:w="32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shd w:fill="F9E4E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2230"/>
                <w:sz w:val="16"/>
                <w:szCs w:val="16"/>
              </w:rPr>
              <w:t xml:space="preserve">Qué produjo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shd w:fill="F9E4E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2230"/>
                <w:sz w:val="16"/>
                <w:szCs w:val="16"/>
              </w:rPr>
              <w:t xml:space="preserve">Qué hizo el equipo</w:t>
            </w:r>
          </w:p>
        </w:tc>
        <w:tc>
          <w:tcPr>
            <w:tcW w:type="dxa" w:w="342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shd w:fill="F9E4E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2230"/>
                <w:sz w:val="16"/>
                <w:szCs w:val="16"/>
              </w:rPr>
              <w:t xml:space="preserve">Cómo se verificó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2026-10-15</w:t>
            </w:r>
          </w:p>
        </w:tc>
        <w:tc>
          <w:tcPr>
            <w:tcW w:type="dxa" w:w="11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Fase 1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Comparar ReviewPulse-Agent y RetainIQ-Agent y elegir el más fácil de implementar</w:t>
            </w:r>
          </w:p>
        </w:tc>
        <w:tc>
          <w:tcPr>
            <w:tcW w:type="dxa" w:w="32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Matriz de decisión con los seis criterios, puntajes y frases de evidencia; script docs/matriz_decision.py con la sensibilidad de ±10 puntos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Entregó el enunciado y los dos diseños de la Tarea 2; pidió el agente más fácil</w:t>
            </w:r>
          </w:p>
        </w:tc>
        <w:tc>
          <w:tcPr>
            <w:tcW w:type="dxa" w:w="342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El 17 de octubre se ejecutó el script: reprodujo 4,05 frente a 3,60, con ReviewPulse ganando en las 12 variaciones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2026-10-15</w:t>
            </w:r>
          </w:p>
        </w:tc>
        <w:tc>
          <w:tcPr>
            <w:tcW w:type="dxa" w:w="11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Fase 2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Implementar el agente según el diseño de la Tarea 2</w:t>
            </w:r>
          </w:p>
        </w:tc>
        <w:tc>
          <w:tcPr>
            <w:tcW w:type="dxa" w:w="32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Paquete reviewpulse/ (simulador, conectores, preprocesamiento, modelo, planificador, memoria, actuadores), interfaz Streamlit y README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Pidió que se generaran todos los entregables</w:t>
            </w:r>
          </w:p>
        </w:tc>
        <w:tc>
          <w:tcPr>
            <w:tcW w:type="dxa" w:w="342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Se ejecutaron los 12 escenarios; el 17 de octubre se repitió E02 con semilla 11 desde cero y dio el mismo resultado que el log guardado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2026-10-15</w:t>
            </w:r>
          </w:p>
        </w:tc>
        <w:tc>
          <w:tcPr>
            <w:tcW w:type="dxa" w:w="11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Fase 2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Mejorar el clasificador, que fallaba con frases nuevas (65 % en polaridad)</w:t>
            </w:r>
          </w:p>
        </w:tc>
        <w:tc>
          <w:tcPr>
            <w:tcW w:type="dxa" w:w="32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Léxico de sentimiento con negación (lexico.py) y un conjunto de control (evaluacion_manual_holdout.csv) que no se usó para ajustar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—</w:t>
            </w:r>
          </w:p>
        </w:tc>
        <w:tc>
          <w:tcPr>
            <w:tcW w:type="dxa" w:w="342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Prueba M1, caso C03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2026-10-15</w:t>
            </w:r>
          </w:p>
        </w:tc>
        <w:tc>
          <w:tcPr>
            <w:tcW w:type="dxa" w:w="11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Fase 2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Corregir falsos positivos («cero polvo» contado como queja) y calibrar la regla de alerta</w:t>
            </w:r>
          </w:p>
        </w:tc>
        <w:tc>
          <w:tcPr>
            <w:tcW w:type="dxa" w:w="32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Negación de palabras negativas; prueba binomial con corrección de Bonferroni, puntaje z y delta; calibración con las semillas 101–105, distintas de las de prueba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—</w:t>
            </w:r>
          </w:p>
        </w:tc>
        <w:tc>
          <w:tcPr>
            <w:tcW w:type="dxa" w:w="342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salidas/calibracion/calibracion.csv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2026-10-15</w:t>
            </w:r>
          </w:p>
        </w:tc>
        <w:tc>
          <w:tcPr>
            <w:tcW w:type="dxa" w:w="11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Fase 3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Convertir las medidas SMART en pruebas con fórmula y umbral previo</w:t>
            </w:r>
          </w:p>
        </w:tc>
        <w:tc>
          <w:tcPr>
            <w:tcW w:type="dxa" w:w="32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pruebas/umbrales.json, pruebas/ejecutar_pruebas.py, logs CSV y JSONL de 60 corridas y pruebas/techo_deteccion.py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—</w:t>
            </w:r>
          </w:p>
        </w:tc>
        <w:tc>
          <w:tcPr>
            <w:tcW w:type="dxa" w:w="342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Corrida completa (11 casos de M1, 12 escenarios, 5 repeticiones); resultados en salidas/pruebas/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6</w:t>
            </w:r>
          </w:p>
        </w:tc>
        <w:tc>
          <w:tcPr>
            <w:tcW w:type="dxa" w:w="10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2026-10-15</w:t>
            </w:r>
          </w:p>
        </w:tc>
        <w:tc>
          <w:tcPr>
            <w:tcW w:type="dxa" w:w="11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Entregables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Redactar el documento ajustado, los diagramas UML, el README y el guion del video</w:t>
            </w:r>
          </w:p>
        </w:tc>
        <w:tc>
          <w:tcPr>
            <w:tcW w:type="dxa" w:w="32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Documento Word, diagramas Mermaid y Graphviz, guion del video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—</w:t>
            </w:r>
          </w:p>
        </w:tc>
        <w:tc>
          <w:tcPr>
            <w:tcW w:type="dxa" w:w="342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El documento se genera con docs/armar_documento.js a partir de los mismos archivos de resultados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7</w:t>
            </w:r>
          </w:p>
        </w:tc>
        <w:tc>
          <w:tcPr>
            <w:tcW w:type="dxa" w:w="10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2026-10-17</w:t>
            </w:r>
          </w:p>
        </w:tc>
        <w:tc>
          <w:tcPr>
            <w:tcW w:type="dxa" w:w="11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Revisión y corrección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Revisar si el trabajo estaba bien, si funcionaba y qué faltaba; dejar listos los archivos de entrega</w:t>
            </w:r>
          </w:p>
        </w:tc>
        <w:tc>
          <w:tcPr>
            <w:tcW w:type="dxa" w:w="32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Revisión del código, los logs y el documento; agente y pruebas ejecutados en modo rápido; correcciones (sección 3); PDF del documento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Subió los archivos para la revisión e indicó qué debía quedar listo</w:t>
            </w:r>
          </w:p>
        </w:tc>
        <w:tc>
          <w:tcPr>
            <w:tcW w:type="dxa" w:w="342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Sumas de verificación de los resultados oficiales, validación del .docx y revisión del PDF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2026-10-18</w:t>
            </w:r>
          </w:p>
        </w:tc>
        <w:tc>
          <w:tcPr>
            <w:tcW w:type="dxa" w:w="118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Interfaz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Rediseñar la interfaz: panel con historial de reseñas, caja para clasificar una reseña, sin textos explicativos y con identidad visual propia (rosado y amarillo pastel)</w:t>
            </w:r>
          </w:p>
        </w:tc>
        <w:tc>
          <w:tcPr>
            <w:tcW w:type="dxa" w:w="32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Nueva app/streamlit_app.py y .streamlit/config.toml; ajuste del README, el guion, el documento y esta bitácora</w:t>
            </w:r>
          </w:p>
        </w:tc>
        <w:tc>
          <w:tcPr>
            <w:tcW w:type="dxa" w:w="22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Definió los requisitos de contenido y estilo y revisó cada versión</w:t>
            </w:r>
          </w:p>
        </w:tc>
        <w:tc>
          <w:tcPr>
            <w:tcW w:type="dxa" w:w="342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2230"/>
                <w:sz w:val="16"/>
                <w:szCs w:val="16"/>
              </w:rPr>
              <w:t xml:space="preserve">Script de cada vista ejecutado con un Streamlit simulado; reseñas positivas, negativas, vacías y en inglés; capturas de cada pantalla</w:t>
            </w:r>
          </w:p>
        </w:tc>
      </w:tr>
    </w:tbl>
    <w:p>
      <w:pPr>
        <w:sectPr>
          <w:footerReference w:type="default" r:id="rId8"/>
          <w:pgSz w:w="15840" w:h="12240" w:orient="landscape"/>
          <w:pgMar w:top="700" w:right="1080" w:bottom="76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9CFC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A2230"/>
          <w:sz w:val="28"/>
          <w:szCs w:val="28"/>
        </w:rPr>
        <w:t xml:space="preserve">3. Correcciones y revisiones realizadas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2A2230"/>
          <w:sz w:val="22"/>
          <w:szCs w:val="22"/>
        </w:rPr>
        <w:t xml:space="preserve">Modo rápido de las pruebas:</w:t>
      </w:r>
      <w:r>
        <w:rPr>
          <w:rFonts w:ascii="Calibri" w:cs="Calibri" w:eastAsia="Calibri" w:hAnsi="Calibri"/>
          <w:color w:val="2A2230"/>
          <w:sz w:val="22"/>
          <w:szCs w:val="22"/>
        </w:rPr>
        <w:t xml:space="preserve"> escribía sobre los resultados oficiales de salidas/pruebas/; ahora escribe en salidas/pruebas_rapido/ y marca la tabla como de demostración.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2A2230"/>
          <w:sz w:val="22"/>
          <w:szCs w:val="22"/>
        </w:rPr>
        <w:t xml:space="preserve">Carga del modelo:</w:t>
      </w:r>
      <w:r>
        <w:rPr>
          <w:rFonts w:ascii="Calibri" w:cs="Calibri" w:eastAsia="Calibri" w:hAnsi="Calibri"/>
          <w:color w:val="2A2230"/>
          <w:sz w:val="22"/>
          <w:szCs w:val="22"/>
        </w:rPr>
        <w:t xml:space="preserve"> si datos/modelo.joblib no carga con la versión instalada de scikit-learn, el modelo se reentrena. requirements.txt y el README indican las versiones con las que se probó.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2A2230"/>
          <w:sz w:val="22"/>
          <w:szCs w:val="22"/>
        </w:rPr>
        <w:t xml:space="preserve">Redacción del documento:</w:t>
      </w:r>
      <w:r>
        <w:rPr>
          <w:rFonts w:ascii="Calibri" w:cs="Calibri" w:eastAsia="Calibri" w:hAnsi="Calibri"/>
          <w:color w:val="2A2230"/>
          <w:sz w:val="22"/>
          <w:szCs w:val="22"/>
        </w:rPr>
        <w:t xml:space="preserve"> se corrigió que el conjunto de control estaba «escrito a mano» (se redactó con asistencia de IA), la justificación de no usar BERT (el entorno de trabajo del asistente no tenía GPU ni acceso a Hugging Face) y la frase sobre el corpus de IberLEF.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2A2230"/>
          <w:sz w:val="22"/>
          <w:szCs w:val="22"/>
        </w:rPr>
        <w:t xml:space="preserve">Análisis de M1:</w:t>
      </w:r>
      <w:r>
        <w:rPr>
          <w:rFonts w:ascii="Calibri" w:cs="Calibri" w:eastAsia="Calibri" w:hAnsi="Calibri"/>
          <w:color w:val="2A2230"/>
          <w:sz w:val="22"/>
          <w:szCs w:val="22"/>
        </w:rPr>
        <w:t xml:space="preserve"> se aclaró que C04 no es una prueba independiente (el preprocesamiento ya quita mayúsculas y tildes) y que 40 reseñas son pocas para decidir frente a un umbral de 85 %.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2A2230"/>
          <w:sz w:val="22"/>
          <w:szCs w:val="22"/>
        </w:rPr>
        <w:t xml:space="preserve">Limitaciones:</w:t>
      </w:r>
      <w:r>
        <w:rPr>
          <w:rFonts w:ascii="Calibri" w:cs="Calibri" w:eastAsia="Calibri" w:hAnsi="Calibri"/>
          <w:color w:val="2A2230"/>
          <w:sz w:val="22"/>
          <w:szCs w:val="22"/>
        </w:rPr>
        <w:t xml:space="preserve"> se agregó que los conjuntos de evaluación y el corpus de entrenamiento no son reseñas reales.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2A2230"/>
          <w:sz w:val="22"/>
          <w:szCs w:val="22"/>
        </w:rPr>
        <w:t xml:space="preserve">Interfaz:</w:t>
      </w:r>
      <w:r>
        <w:rPr>
          <w:rFonts w:ascii="Calibri" w:cs="Calibri" w:eastAsia="Calibri" w:hAnsi="Calibri"/>
          <w:color w:val="2A2230"/>
          <w:sz w:val="22"/>
          <w:szCs w:val="22"/>
        </w:rPr>
        <w:t xml:space="preserve"> el diseño pasó de una página de pruebas a un panel de hotel (resumen, historial de reseñas con filtros, resumen por semana y clasificación de una reseña), con la demostración técnica en una sección aparte.</w:t>
      </w:r>
    </w:p>
    <w:p>
      <w:pPr>
        <w:pStyle w:val="Heading1"/>
        <w:pBdr>
          <w:bottom w:val="single" w:color="D9CFC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A2230"/>
          <w:sz w:val="28"/>
          <w:szCs w:val="28"/>
        </w:rPr>
        <w:t xml:space="preserve">4. Aportes del equipo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>Los documentos de diseño de la Tarea 2 (tipo de agente, ambiente, entradas y sensores, salidas y actuadores, medidas de desempeño y componentes de la arquitectura), que son el punto de partida y la referencia de la implementación.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>La definición de qué debía entregarse y la selección del agente que se implementó.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>Los requisitos de contenido y estilo de la interfaz (historial de reseñas para el gerente, clasificación de una reseña escrita por el usuario, sin textos explicativos, rosado y amarillo pastel) y la retroalimentación sobre cada versión.</w:t>
      </w:r>
    </w:p>
    <w:p>
      <w:pPr>
        <w:pStyle w:val="Heading1"/>
        <w:pBdr>
          <w:bottom w:val="single" w:color="D9CFC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A2230"/>
          <w:sz w:val="28"/>
          <w:szCs w:val="28"/>
        </w:rPr>
        <w:t xml:space="preserve">5. Partes que el equipo debe poder explicar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>Los puntajes y las frases de evidencia de la matriz de decisión, incluidas las afirmaciones sobre lo que el equipo sabe implementar.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>El ciclo percepción → decisión → acción en reviewpulse/agente.py (percibir(), decidir() y actuar()), el planificador y la regla de alerta.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>El corpus sintético, los conjuntos de evaluación C02 y C03 y las razones por las que M1 y M2 no alcanzan su umbral.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>El texto del documento, el análisis de resultados y los diagramas.</w:t>
      </w:r>
    </w:p>
    <w:p>
      <w:pPr>
        <w:pStyle w:val="Heading1"/>
        <w:pBdr>
          <w:bottom w:val="single" w:color="D9CFC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A2230"/>
          <w:sz w:val="28"/>
          <w:szCs w:val="28"/>
        </w:rPr>
        <w:t xml:space="preserve">6. Decisiones del agente que dependen de un LLM</w:t>
      </w:r>
    </w:p>
    <w:p>
      <w:pPr>
        <w:spacing w:after="120" w:line="288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>Ninguna. El agente no usa ningún modelo de lenguaje en tiempo de ejecución; la IA generativa se usó solo durante el desarrollo.</w:t>
      </w:r>
    </w:p>
    <w:p>
      <w:pPr>
        <w:pStyle w:val="Heading1"/>
        <w:pBdr>
          <w:bottom w:val="single" w:color="D9CFC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A2230"/>
          <w:sz w:val="28"/>
          <w:szCs w:val="28"/>
        </w:rPr>
        <w:t xml:space="preserve">7. Prompts principales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>Sesión del 15 de octubre: «Implementa uno de los dos agentes inteligentes que diseñamos en la entrega anterior y demuestra, con pruebas, que cumple las medidas de desempeño que definimos», con el enunciado completo de la Tarea 3 y los dos documentos de diseño en PDF, y luego «Elige el agente más fácil».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>Sesión del 17 de octubre: «dime si está bien, si funciona, qué debo hacer yo con eso, qué falta», con el enunciado, los logs, el repositorio y el documento de la Tarea 2; y después «arregla todo para que los archivos zip estén listos para entregar».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A2230"/>
          <w:sz w:val="22"/>
          <w:szCs w:val="22"/>
        </w:rPr>
        <w:t xml:space="preserve">Sesión del 18 de octubre: solicitudes de rediseño de la interfaz (panel con historial de reseñas, caja para clasificar una reseña, retirar textos explicativos, estilo minimalista en rosado y amarillo pastel e identidad visual propia).</w:t>
      </w:r>
    </w:p>
    <w:sectPr>
      <w:footerReference w:type="default" r:id="rId9"/>
      <w:pgSz w:w="12240" w:h="15840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070"/>
        <w:sz w:val="16"/>
        <w:szCs w:val="16"/>
      </w:rPr>
      <w:t xml:space="preserve">Bitácora de uso de IA · ReviewPulse-Agent · Página </w:t>
    </w:r>
    <w:r>
      <w:rPr>
        <w:rFonts w:ascii="Calibri" w:cs="Calibri" w:eastAsia="Calibri" w:hAnsi="Calibri"/>
        <w:color w:val="6B6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070"/>
        <w:sz w:val="16"/>
        <w:szCs w:val="16"/>
      </w:rPr>
      <w:t xml:space="preserve">Bitácora de uso de IA · ReviewPulse-Agent · Página </w:t>
    </w:r>
    <w:r>
      <w:rPr>
        <w:rFonts w:ascii="Calibri" w:cs="Calibri" w:eastAsia="Calibri" w:hAnsi="Calibri"/>
        <w:color w:val="6B6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070"/>
        <w:sz w:val="16"/>
        <w:szCs w:val="16"/>
      </w:rPr>
      <w:t xml:space="preserve">Bitácora de uso de IA · ReviewPulse-Agent · Página </w:t>
    </w:r>
    <w:r>
      <w:rPr>
        <w:rFonts w:ascii="Calibri" w:cs="Calibri" w:eastAsia="Calibri" w:hAnsi="Calibri"/>
        <w:color w:val="6B6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de uso de IA — ReviewPulse-Agent</dc:title>
  <dc:creator>Ellen Nicole Ordoñez Chavez y Sara Bastidas Triana</dc:creator>
  <cp:lastModifiedBy>Un-named</cp:lastModifiedBy>
  <cp:revision>1</cp:revision>
  <dcterms:created xsi:type="dcterms:W3CDTF">2026-10-18T22:16:43.022Z</dcterms:created>
  <dcterms:modified xsi:type="dcterms:W3CDTF">2026-10-18T22:16:43.024Z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