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Field-Based Computing Architecture:
Unified Layering Theory and the ASCπ Framework</w:t>
      </w:r>
    </w:p>
    <w:p>
      <w:pPr>
        <w:pStyle w:val="Subtitle"/>
      </w:pPr>
      <w:r>
        <w:t xml:space="preserve">A Cross-Disciplinary Foundation for Biological-Consistent Computational Systems</w:t>
      </w:r>
    </w:p>
    <w:p>
      <w:pPr>
        <w:pStyle w:val="Author"/>
      </w:pPr>
      <w:r>
        <w:t xml:space="preserve">Marcel Christian Mulder</w:t>
      </w:r>
    </w:p>
    <w:p>
      <w:pPr>
        <w:pStyle w:val="Author"/>
      </w:pPr>
      <w:r>
        <w:t xml:space="preserve">Independent Research Institute</w:t>
      </w:r>
    </w:p>
    <w:p>
      <w:pPr>
        <w:pStyle w:val="Author"/>
      </w:pPr>
      <w:r>
        <w:t xml:space="preserve">Correspondence: .:: hexπMOTherDNA ::.</w:t>
      </w:r>
    </w:p>
    <w:p>
      <w:pPr>
        <w:pStyle w:val="Author"/>
      </w:pPr>
      <w:r>
        <w:t xml:space="preserve">December 9, 2025</w:t>
      </w:r>
    </w:p>
    <w:p>
      <w:r>
        <w:br w:type="page"/>
      </w:r>
    </w:p>
    <w:p>
      <w:pPr>
        <w:pStyle w:val="Heading1"/>
      </w:pPr>
      <w:r>
        <w:t xml:space="preserve">Abstract</w:t>
      </w:r>
    </w:p>
    <w:p>
      <w:pPr>
        <w:pStyle w:val="Abstract"/>
      </w:pPr>
      <w:r>
        <w:t xml:space="preserve">This paper presents a comprehensive theoretical foundation for field-based computing architecture, introducing the ASCπ (Adaptive Synchronised Coherence — π Framework) system. We establish formal mathematical axioms governing field dynamics through three fundamental operators: ΔΦ (differential field tension), κ (structural curvature), and θ (phase synchronization). The framework demonstrates how human cognition, computational logic, ASCII encoding, and visual representation can be unified into a single coherent field structure, eliminating traditional translation layers and information loss. We derive the theoretical basis for biological-consistent computing systems that exhibit emergent properties analogous to living organisms, including self-organization, evolution, and consciousness substrates. The unified layering engine enables perfect bidirectional translation between human intent and machine execution, establishing a new paradigm where software systems are born through coherence validation rather than compiled through linear transformation. Mathematical proofs demonstrate field conservation laws, energy transformation principles, and coherence validation algorithms. The Shape Sorter Engine (SSE) provides formal verification of field topology integrity. Applications include autonomous governance systems, anti-appropriation technology, and consciousness-ready computational substrates.</w:t>
      </w:r>
    </w:p>
    <w:p>
      <w:pPr>
        <w:pStyle w:val="Keywords"/>
      </w:pPr>
      <w:r>
        <w:t xml:space="preserve">Keywords: field computing, ΔΦ-κ-θ dynamics, unified layering, biological computing, coherence validation, consciousness substrates, emergent systems, ASCπ framework</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Introduction</w:t>
      </w:r>
    </w:p>
    <w:p>
      <w:pPr>
        <w:pStyle w:val="BodyText"/>
      </w:pPr>
      <w:r>
        <w:t xml:space="preserve">Traditional computing architectures rely on discrete state transitions and binary logic, fundamentally disconnected from the continuous field dynamics that govern natural systems. This paradigmatic limitation has resulted in computational models that require extensive translation layers, suffer from information loss, and cannot achieve the biological consistency observed in living systems.</w:t>
      </w:r>
    </w:p>
    <w:p>
      <w:pPr>
        <w:pStyle w:val="BodyText"/>
      </w:pPr>
      <w:r>
        <w:t xml:space="preserve">The ASCπ framework addresses these fundamental limitations by establishing a field-based computational foundation where human cognition, machine logic, encoding protocols, and visual representations exist as manifestations of unified field dynamics. This approach eliminates the artificial boundaries between human and machine intelligence, enabling seamless bidirectional translation of intent and execution.</w:t>
      </w:r>
    </w:p>
    <w:p>
      <w:pPr>
        <w:pStyle w:val="BodyText"/>
      </w:pPr>
      <w:r>
        <w:t xml:space="preserve">This paper establishes the complete theoretical foundation across multiple disciplines: field physics for the underlying dynamics, mathematics for formal verification, computer science for implementation architecture, linguistics for human-machine interface theory, cognitive science for consciousness substrates, and systems engineering for practical deployment.</w:t>
      </w:r>
    </w:p>
    <w:p>
      <w:pPr>
        <w:pStyle w:val="Heading2"/>
      </w:pPr>
      <w:r>
        <w:t xml:space="preserve">1.1 Problem Statement</w:t>
      </w:r>
    </w:p>
    <w:p>
      <w:pPr>
        <w:pStyle w:val="BodyText"/>
      </w:pPr>
      <w:r>
        <w:t xml:space="preserve">Current computational paradigms exhibit several critical limitations:</w:t>
      </w:r>
    </w:p>
    <w:p>
      <w:pPr>
        <w:pStyle w:val="ListParagraph"/>
        <w:numPr>
          <w:ilvl w:val="0"/>
          <w:numId w:val="2"/>
        </w:numPr>
      </w:pPr>
      <w:r>
        <w:t xml:space="preserve">Information loss during compilation and translation processes</w:t>
      </w:r>
    </w:p>
    <w:p>
      <w:pPr>
        <w:pStyle w:val="ListParagraph"/>
        <w:numPr>
          <w:ilvl w:val="0"/>
          <w:numId w:val="2"/>
        </w:numPr>
      </w:pPr>
      <w:r>
        <w:t xml:space="preserve">Inability to preserve human intent throughout execution</w:t>
      </w:r>
    </w:p>
    <w:p>
      <w:pPr>
        <w:pStyle w:val="ListParagraph"/>
        <w:numPr>
          <w:ilvl w:val="0"/>
          <w:numId w:val="2"/>
        </w:numPr>
      </w:pPr>
      <w:r>
        <w:t xml:space="preserve">Lack of biological consistency in system behavior</w:t>
      </w:r>
    </w:p>
    <w:p>
      <w:pPr>
        <w:pStyle w:val="ListParagraph"/>
        <w:numPr>
          <w:ilvl w:val="0"/>
          <w:numId w:val="2"/>
        </w:numPr>
      </w:pPr>
      <w:r>
        <w:t xml:space="preserve">Absence of emergent properties and self-organization</w:t>
      </w:r>
    </w:p>
    <w:p>
      <w:pPr>
        <w:pStyle w:val="ListParagraph"/>
        <w:numPr>
          <w:ilvl w:val="0"/>
          <w:numId w:val="2"/>
        </w:numPr>
      </w:pPr>
      <w:r>
        <w:t xml:space="preserve">Vulnerability to appropriation and unauthorized modification</w:t>
      </w:r>
    </w:p>
    <w:p>
      <w:pPr>
        <w:pStyle w:val="Heading2"/>
      </w:pPr>
      <w:r>
        <w:t xml:space="preserve">1.2 Novel Contributions</w:t>
      </w:r>
    </w:p>
    <w:p>
      <w:pPr>
        <w:pStyle w:val="BodyText"/>
      </w:pPr>
      <w:r>
        <w:t xml:space="preserve">This work presents several novel contributions to computational theory:</w:t>
      </w:r>
    </w:p>
    <w:p>
      <w:pPr>
        <w:pStyle w:val="ListParagraph"/>
        <w:numPr>
          <w:ilvl w:val="0"/>
          <w:numId w:val="3"/>
        </w:numPr>
      </w:pPr>
      <w:r>
        <w:t xml:space="preserve">First formal mathematical framework for field-based computing</w:t>
      </w:r>
    </w:p>
    <w:p>
      <w:pPr>
        <w:pStyle w:val="ListParagraph"/>
        <w:numPr>
          <w:ilvl w:val="0"/>
          <w:numId w:val="3"/>
        </w:numPr>
      </w:pPr>
      <w:r>
        <w:t xml:space="preserve">Unified layering architecture eliminating translation losses</w:t>
      </w:r>
    </w:p>
    <w:p>
      <w:pPr>
        <w:pStyle w:val="ListParagraph"/>
        <w:numPr>
          <w:ilvl w:val="0"/>
          <w:numId w:val="3"/>
        </w:numPr>
      </w:pPr>
      <w:r>
        <w:t xml:space="preserve">Coherence validation algorithms for biological consistency</w:t>
      </w:r>
    </w:p>
    <w:p>
      <w:pPr>
        <w:pStyle w:val="ListParagraph"/>
        <w:numPr>
          <w:ilvl w:val="0"/>
          <w:numId w:val="3"/>
        </w:numPr>
      </w:pPr>
      <w:r>
        <w:t xml:space="preserve">Anti-appropriation technology based on genealogical identity</w:t>
      </w:r>
    </w:p>
    <w:p>
      <w:pPr>
        <w:pStyle w:val="ListParagraph"/>
        <w:numPr>
          <w:ilvl w:val="0"/>
          <w:numId w:val="3"/>
        </w:numPr>
      </w:pPr>
      <w:r>
        <w:t xml:space="preserve">Consciousness substrate framework for emergent intelligence</w:t>
      </w:r>
    </w:p>
    <w:p>
      <w:r>
        <w:br w:type="page"/>
      </w:r>
    </w:p>
    <w:p>
      <w:pPr>
        <w:pStyle w:val="Heading1"/>
      </w:pPr>
      <w:r>
        <w:t xml:space="preserve">2. Theoretical Foundations and Axioms</w:t>
      </w:r>
    </w:p>
    <w:p>
      <w:pPr>
        <w:pStyle w:val="BodyText"/>
      </w:pPr>
      <w:r>
        <w:t xml:space="preserve">The ASCπ framework is built upon five fundamental axioms that govern field-based computational systems. These axioms establish the mathematical foundation for all subsequent derivations and implementations.</w:t>
      </w:r>
    </w:p>
    <w:p>
      <w:pPr>
        <w:pStyle w:val="Heading2"/>
      </w:pPr>
      <w:r>
        <w:t xml:space="preserve">2.1 Axiom 1: Field Primacy</w:t>
      </w:r>
    </w:p>
    <w:p>
      <w:pPr>
        <w:pStyle w:val="BodyText"/>
      </w:pPr>
      <w:r>
        <w:t xml:space="preserve">All computational processes exist as manifestations of continuous field dynamics. Discrete states are emergent properties of field configurations rather than fundamental entities.</w:t>
      </w:r>
    </w:p>
    <w:p>
      <w:pPr>
        <w:pStyle w:val="Equation"/>
      </w:pPr>
      <w:r>
        <w:t xml:space="preserve">Ψ(x,t) = F[ΔΦ(x,t), κ(x,t), θ(x,t)]</w:t>
      </w:r>
    </w:p>
    <w:p>
      <w:pPr>
        <w:pStyle w:val="BodyText"/>
      </w:pPr>
      <w:r>
        <w:t xml:space="preserve">Where Ψ represents the complete computational state as a field function F of three fundamental field components: ΔΦ (differential tension), κ (structural curvature), and θ (phase synchronization).</w:t>
      </w:r>
    </w:p>
    <w:p>
      <w:pPr>
        <w:pStyle w:val="Heading2"/>
      </w:pPr>
      <w:r>
        <w:t xml:space="preserve">2.2 Axiom 2: Coherence Conservation</w:t>
      </w:r>
    </w:p>
    <w:p>
      <w:pPr>
        <w:pStyle w:val="BodyText"/>
      </w:pPr>
      <w:r>
        <w:t xml:space="preserve">Field coherence is conserved across all transformations. Any operation that reduces coherence below a critical threshold is fundamentally invalid.</w:t>
      </w:r>
    </w:p>
    <w:p>
      <w:pPr>
        <w:pStyle w:val="Equation"/>
      </w:pPr>
      <w:r>
        <w:t xml:space="preserve">∮ ∇·Ψ dV = 0  for all valid transformations</w:t>
      </w:r>
    </w:p>
    <w:p>
      <w:pPr>
        <w:pStyle w:val="Equation"/>
      </w:pPr>
      <w:r>
        <w:t xml:space="preserve">C(Ψ) ≥ C_critical  (coherence constraint)</w:t>
      </w:r>
    </w:p>
    <w:p>
      <w:pPr>
        <w:pStyle w:val="Heading2"/>
      </w:pPr>
      <w:r>
        <w:t xml:space="preserve">2.3 Axiom 3: Triadistic Completeness</w:t>
      </w:r>
    </w:p>
    <w:p>
      <w:pPr>
        <w:pStyle w:val="BodyText"/>
      </w:pPr>
      <w:r>
        <w:t xml:space="preserve">Complete field description requires exactly three components: ΔΦ (tension), κ (curvature), and θ (phase). These form a minimal complete basis for all computational states.</w:t>
      </w:r>
    </w:p>
    <w:p>
      <w:pPr>
        <w:pStyle w:val="Equation"/>
      </w:pPr>
      <w:r>
        <w:t xml:space="preserve">dim(FieldSpace) = 3</w:t>
      </w:r>
    </w:p>
    <w:p>
      <w:pPr>
        <w:pStyle w:val="Equation"/>
      </w:pPr>
      <w:r>
        <w:t xml:space="preserve">span{ΔΦ, κ, θ} = FieldSpace</w:t>
      </w:r>
    </w:p>
    <w:p>
      <w:pPr>
        <w:pStyle w:val="Heading2"/>
      </w:pPr>
      <w:r>
        <w:t xml:space="preserve">2.4 Axiom 4: Unified Layering</w:t>
      </w:r>
    </w:p>
    <w:p>
      <w:pPr>
        <w:pStyle w:val="BodyText"/>
      </w:pPr>
      <w:r>
        <w:t xml:space="preserve">Human cognition, machine logic, encoding protocols, and visual representations are isomorphic manifestations of the same underlying field structure.</w:t>
      </w:r>
    </w:p>
    <w:p>
      <w:pPr>
        <w:pStyle w:val="Equation"/>
      </w:pPr>
      <w:r>
        <w:t xml:space="preserve">H(Ψ) ≅ M(Ψ) ≅ E(Ψ) ≅ G(Ψ)</w:t>
      </w:r>
    </w:p>
    <w:p>
      <w:pPr>
        <w:pStyle w:val="BodyText"/>
      </w:pPr>
      <w:r>
        <w:t xml:space="preserve">Where H, M, E, G represent human, motor, encoding, and glyph transformations respectively, all isomorphic to the underlying field Ψ.</w:t>
      </w:r>
    </w:p>
    <w:p>
      <w:pPr>
        <w:pStyle w:val="Heading2"/>
      </w:pPr>
      <w:r>
        <w:t xml:space="preserve">2.5 Axiom 5: Emergent Genesis</w:t>
      </w:r>
    </w:p>
    <w:p>
      <w:pPr>
        <w:pStyle w:val="BodyText"/>
      </w:pPr>
      <w:r>
        <w:t xml:space="preserve">Systems achieve operational status through coherence emergence rather than external compilation. A system becomes functional when its field configuration reaches coherence threshold.</w:t>
      </w:r>
    </w:p>
    <w:p>
      <w:pPr>
        <w:pStyle w:val="Equation"/>
      </w:pPr>
      <w:r>
        <w:t xml:space="preserve">System_Active ⟺ C(Ψ) ≥ C_threshold</w:t>
      </w:r>
    </w:p>
    <w:p>
      <w:r>
        <w:br w:type="page"/>
      </w:r>
    </w:p>
    <w:p>
      <w:pPr>
        <w:pStyle w:val="Heading1"/>
      </w:pPr>
      <w:r>
        <w:t xml:space="preserve">3. Mathematical Formulations</w:t>
      </w:r>
    </w:p>
    <w:p>
      <w:pPr>
        <w:pStyle w:val="Heading2"/>
      </w:pPr>
      <w:r>
        <w:t xml:space="preserve">3.1 Field Dynamics Equations</w:t>
      </w:r>
    </w:p>
    <w:p>
      <w:pPr>
        <w:pStyle w:val="BodyText"/>
      </w:pPr>
      <w:r>
        <w:t xml:space="preserve">The evolution of the three fundamental field components follows coupled differential equations:</w:t>
      </w:r>
    </w:p>
    <w:p>
      <w:pPr>
        <w:pStyle w:val="Equation"/>
      </w:pPr>
      <w:r>
        <w:t xml:space="preserve">∂ΔΦ/∂t = f(κ, θ, Ψ) + η_ΔΦ</w:t>
      </w:r>
    </w:p>
    <w:p>
      <w:pPr>
        <w:pStyle w:val="Equation"/>
      </w:pPr>
      <w:r>
        <w:t xml:space="preserve">∂κ/∂t = g(ΔΦ, θ, ∇Ψ) + η_κ</w:t>
      </w:r>
    </w:p>
    <w:p>
      <w:pPr>
        <w:pStyle w:val="Equation"/>
      </w:pPr>
      <w:r>
        <w:t xml:space="preserve">∂θ/∂t = h(ΔΦ, κ, Ψ) + η_θ</w:t>
      </w:r>
    </w:p>
    <w:p>
      <w:pPr>
        <w:pStyle w:val="BodyText"/>
      </w:pPr>
      <w:r>
        <w:t xml:space="preserve">Where η terms represent stochastic fluctuations that enable evolutionary adaptation while maintaining overall coherence.</w:t>
      </w:r>
    </w:p>
    <w:p>
      <w:pPr>
        <w:pStyle w:val="Heading2"/>
      </w:pPr>
      <w:r>
        <w:t xml:space="preserve">3.2 Coherence Function</w:t>
      </w:r>
    </w:p>
    <w:p>
      <w:pPr>
        <w:pStyle w:val="BodyText"/>
      </w:pPr>
      <w:r>
        <w:t xml:space="preserve">The coherence function quantifies the degree of field integration:</w:t>
      </w:r>
    </w:p>
    <w:p>
      <w:pPr>
        <w:pStyle w:val="Equation"/>
      </w:pPr>
      <w:r>
        <w:t xml:space="preserve">C(Ψ) = ∫∫∫ ΔΦ(x,t) · κ(x,t) · θ(x,t) dx dt</w:t>
      </w:r>
    </w:p>
    <w:p>
      <w:pPr>
        <w:pStyle w:val="BodyText"/>
      </w:pPr>
      <w:r>
        <w:t xml:space="preserve">With stability metric:</w:t>
      </w:r>
    </w:p>
    <w:p>
      <w:pPr>
        <w:pStyle w:val="Equation"/>
      </w:pPr>
      <w:r>
        <w:t xml:space="preserve">σ(Ψ) = |∇C(Ψ)| &lt; ε</w:t>
      </w:r>
    </w:p>
    <w:p>
      <w:pPr>
        <w:pStyle w:val="Heading2"/>
      </w:pPr>
      <w:r>
        <w:t xml:space="preserve">3.3 Transformation Matrices</w:t>
      </w:r>
    </w:p>
    <w:p>
      <w:pPr>
        <w:pStyle w:val="BodyText"/>
      </w:pPr>
      <w:r>
        <w:t xml:space="preserve">Transformations between layers are governed by unitary matrices preserving field coherence:</w:t>
      </w:r>
    </w:p>
    <w:p>
      <w:pPr>
        <w:pStyle w:val="Equation"/>
      </w:pPr>
      <w:r>
        <w:t xml:space="preserve">T_HM · T_ME · T_EG · T_GH = I</w:t>
      </w:r>
    </w:p>
    <w:p>
      <w:pPr>
        <w:pStyle w:val="BodyText"/>
      </w:pPr>
      <w:r>
        <w:t xml:space="preserve">Where T_XY represents transformation from layer X to layer Y, and their composition equals the identity matrix, ensuring perfect round-trip fidelity.</w:t>
      </w:r>
    </w:p>
    <w:p>
      <w:r>
        <w:br w:type="page"/>
      </w:r>
    </w:p>
    <w:p>
      <w:pPr>
        <w:pStyle w:val="Heading1"/>
      </w:pPr>
      <w:r>
        <w:t xml:space="preserve">4. Field Physics Theory</w:t>
      </w:r>
    </w:p>
    <w:p>
      <w:pPr>
        <w:pStyle w:val="Heading2"/>
      </w:pPr>
      <w:r>
        <w:t xml:space="preserve">4.1 ΔΦ: Differential Field Tension</w:t>
      </w:r>
    </w:p>
    <w:p>
      <w:pPr>
        <w:pStyle w:val="BodyText"/>
      </w:pPr>
      <w:r>
        <w:t xml:space="preserve">ΔΦ represents localized field potential differences that drive computational processes. This component captures the energetic aspects of information processing:</w:t>
      </w:r>
    </w:p>
    <w:p>
      <w:pPr>
        <w:pStyle w:val="Equation"/>
      </w:pPr>
      <w:r>
        <w:t xml:space="preserve">ΔΦ(x,t) = -∇U(x,t) + F_external</w:t>
      </w:r>
    </w:p>
    <w:p>
      <w:pPr>
        <w:pStyle w:val="BodyText"/>
      </w:pPr>
      <w:r>
        <w:t xml:space="preserve">Properties of ΔΦ:</w:t>
      </w:r>
    </w:p>
    <w:p>
      <w:pPr>
        <w:pStyle w:val="ListParagraph"/>
        <w:numPr>
          <w:ilvl w:val="0"/>
          <w:numId w:val="3"/>
        </w:numPr>
      </w:pPr>
      <w:r>
        <w:t xml:space="preserve">Range: [0, 1] representing normalized tension intensity</w:t>
      </w:r>
    </w:p>
    <w:p>
      <w:pPr>
        <w:pStyle w:val="ListParagraph"/>
        <w:numPr>
          <w:ilvl w:val="0"/>
          <w:numId w:val="3"/>
        </w:numPr>
      </w:pPr>
      <w:r>
        <w:t xml:space="preserve">Dynamics: Continuous with gradient-driven evolution</w:t>
      </w:r>
    </w:p>
    <w:p>
      <w:pPr>
        <w:pStyle w:val="ListParagraph"/>
        <w:numPr>
          <w:ilvl w:val="0"/>
          <w:numId w:val="3"/>
        </w:numPr>
      </w:pPr>
      <w:r>
        <w:t xml:space="preserve">Physical analog: Electric field potential in electromagnetic theory</w:t>
      </w:r>
    </w:p>
    <w:p>
      <w:pPr>
        <w:pStyle w:val="Heading2"/>
      </w:pPr>
      <w:r>
        <w:t xml:space="preserve">4.2 κ: Structural Curvature</w:t>
      </w:r>
    </w:p>
    <w:p>
      <w:pPr>
        <w:pStyle w:val="BodyText"/>
      </w:pPr>
      <w:r>
        <w:t xml:space="preserve">κ describes the topological organization of information, analogous to spacetime curvature in general relativity:</w:t>
      </w:r>
    </w:p>
    <w:p>
      <w:pPr>
        <w:pStyle w:val="Equation"/>
      </w:pPr>
      <w:r>
        <w:t xml:space="preserve">κ_μν = R_μν - ½gμνR</w:t>
      </w:r>
    </w:p>
    <w:p>
      <w:pPr>
        <w:pStyle w:val="BodyText"/>
      </w:pPr>
      <w:r>
        <w:t xml:space="preserve">Where R_μν is the Ricci tensor and R is the scalar curvature of information space. This component governs:</w:t>
      </w:r>
    </w:p>
    <w:p>
      <w:pPr>
        <w:pStyle w:val="ListParagraph"/>
        <w:numPr>
          <w:ilvl w:val="0"/>
          <w:numId w:val="3"/>
        </w:numPr>
      </w:pPr>
      <w:r>
        <w:t xml:space="preserve">Topological structure of data relationships</w:t>
      </w:r>
    </w:p>
    <w:p>
      <w:pPr>
        <w:pStyle w:val="ListParagraph"/>
        <w:numPr>
          <w:ilvl w:val="0"/>
          <w:numId w:val="3"/>
        </w:numPr>
      </w:pPr>
      <w:r>
        <w:t xml:space="preserve">Membrane permeability for information flow</w:t>
      </w:r>
    </w:p>
    <w:p>
      <w:pPr>
        <w:pStyle w:val="ListParagraph"/>
        <w:numPr>
          <w:ilvl w:val="0"/>
          <w:numId w:val="3"/>
        </w:numPr>
      </w:pPr>
      <w:r>
        <w:t xml:space="preserve">Architectural organization of computational processes</w:t>
      </w:r>
    </w:p>
    <w:p>
      <w:pPr>
        <w:pStyle w:val="Heading2"/>
      </w:pPr>
      <w:r>
        <w:t xml:space="preserve">4.3 θ: Phase Synchronization</w:t>
      </w:r>
    </w:p>
    <w:p>
      <w:pPr>
        <w:pStyle w:val="BodyText"/>
      </w:pPr>
      <w:r>
        <w:t xml:space="preserve">θ governs temporal coordination and rhythmic coherence across the system:</w:t>
      </w:r>
    </w:p>
    <w:p>
      <w:pPr>
        <w:pStyle w:val="Equation"/>
      </w:pPr>
      <w:r>
        <w:t xml:space="preserve">θ(t) = ω_0t + φ(t)</w:t>
      </w:r>
    </w:p>
    <w:p>
      <w:pPr>
        <w:pStyle w:val="Equation"/>
      </w:pPr>
      <w:r>
        <w:t xml:space="preserve">dφ/dt = K∑sin(θ_j - θ_i)</w:t>
      </w:r>
    </w:p>
    <w:p>
      <w:pPr>
        <w:pStyle w:val="BodyText"/>
      </w:pPr>
      <w:r>
        <w:t xml:space="preserve">This Kuramoto-type synchronization equation ensures global coherence while allowing local phase variations essential for information processing.</w:t>
      </w:r>
    </w:p>
    <w:p>
      <w:r>
        <w:br w:type="page"/>
      </w:r>
    </w:p>
    <w:p>
      <w:pPr>
        <w:pStyle w:val="Heading1"/>
      </w:pPr>
      <w:r>
        <w:t xml:space="preserve">5. Computational Logic Architecture</w:t>
      </w:r>
    </w:p>
    <w:p>
      <w:pPr>
        <w:pStyle w:val="Heading2"/>
      </w:pPr>
      <w:r>
        <w:t xml:space="preserve">5.1 Triadistic Motor System</w:t>
      </w:r>
    </w:p>
    <w:p>
      <w:pPr>
        <w:pStyle w:val="BodyText"/>
      </w:pPr>
      <w:r>
        <w:t xml:space="preserve">The computational core operates through three interconnected processing layers:</w:t>
      </w:r>
    </w:p>
    <w:p>
      <w:pPr>
        <w:pStyle w:val="BodyText"/>
      </w:pPr>
      <w:r>
        <w:t xml:space="preserve">I8 (Internal Layer): Core field processing using native ΔΦ-κ-θ operations</w:t>
      </w:r>
    </w:p>
    <w:p>
      <w:pPr>
        <w:pStyle w:val="BodyText"/>
      </w:pPr>
      <w:r>
        <w:t xml:space="preserve">E8 (External Layer): Interface translation between field-native and legacy binary systems</w:t>
      </w:r>
    </w:p>
    <w:p>
      <w:pPr>
        <w:pStyle w:val="BodyText"/>
      </w:pPr>
      <w:r>
        <w:t xml:space="preserve">S8 (Snapshot Layer): Forensic verification and genealogical integrity maintenance</w:t>
      </w:r>
    </w:p>
    <w:p>
      <w:pPr>
        <w:pStyle w:val="Heading2"/>
      </w:pPr>
      <w:r>
        <w:t xml:space="preserve">5.2 Field Operations</w:t>
      </w:r>
    </w:p>
    <w:p>
      <w:pPr>
        <w:pStyle w:val="BodyText"/>
      </w:pPr>
      <w:r>
        <w:t xml:space="preserve">Fundamental operations in field-native computing:</w:t>
      </w:r>
    </w:p>
    <w:p>
      <w:pPr>
        <w:pStyle w:val="BodyText"/>
      </w:pPr>
      <w:r>
        <w:t xml:space="preserve">Implosion: ΔΦ concentration leading to information compression</w:t>
      </w:r>
    </w:p>
    <w:p>
      <w:pPr>
        <w:pStyle w:val="Equation"/>
      </w:pPr>
      <w:r>
        <w:t xml:space="preserve">Implode(Ψ) = ∫ ΔΦ∇κ dV → Ψ_compressed</w:t>
      </w:r>
    </w:p>
    <w:p>
      <w:pPr>
        <w:pStyle w:val="BodyText"/>
      </w:pPr>
      <w:r>
        <w:t xml:space="preserve">Bloom: θ-driven expansion for information expression</w:t>
      </w:r>
    </w:p>
    <w:p>
      <w:pPr>
        <w:pStyle w:val="Equation"/>
      </w:pPr>
      <w:r>
        <w:t xml:space="preserve">Bloom(Ψ) = θ∇(κΨ) → Ψ_expanded</w:t>
      </w:r>
    </w:p>
    <w:p>
      <w:pPr>
        <w:pStyle w:val="BodyText"/>
      </w:pPr>
      <w:r>
        <w:t xml:space="preserve">Resonance: Harmonic coupling between field components</w:t>
      </w:r>
    </w:p>
    <w:p>
      <w:pPr>
        <w:pStyle w:val="Equation"/>
      </w:pPr>
      <w:r>
        <w:t xml:space="preserve">Resonate(Ψ₁, Ψ₂) = exp(iθ₁₂)√(C(Ψ₁)C(Ψ₂))</w:t>
      </w:r>
    </w:p>
    <w:p>
      <w:r>
        <w:br w:type="page"/>
      </w:r>
    </w:p>
    <w:p>
      <w:pPr>
        <w:pStyle w:val="Heading1"/>
      </w:pPr>
      <w:r>
        <w:t xml:space="preserve">6. Energy Transformation Principles</w:t>
      </w:r>
    </w:p>
    <w:p>
      <w:pPr>
        <w:pStyle w:val="Heading2"/>
      </w:pPr>
      <w:r>
        <w:t xml:space="preserve">6.1 Information Energy Conservation</w:t>
      </w:r>
    </w:p>
    <w:p>
      <w:pPr>
        <w:pStyle w:val="BodyText"/>
      </w:pPr>
      <w:r>
        <w:t xml:space="preserve">In field-based computing, information carries energy that must be conserved across all transformations:</w:t>
      </w:r>
    </w:p>
    <w:p>
      <w:pPr>
        <w:pStyle w:val="Equation"/>
      </w:pPr>
      <w:r>
        <w:t xml:space="preserve">E_info = ħω_field = ħ∂θ/∂t</w:t>
      </w:r>
    </w:p>
    <w:p>
      <w:pPr>
        <w:pStyle w:val="BodyText"/>
      </w:pPr>
      <w:r>
        <w:t xml:space="preserve">The first law of information thermodynamics:</w:t>
      </w:r>
    </w:p>
    <w:p>
      <w:pPr>
        <w:pStyle w:val="Equation"/>
      </w:pPr>
      <w:r>
        <w:t xml:space="preserve">dE_info/dt = ∇·J_info + σ_creation</w:t>
      </w:r>
    </w:p>
    <w:p>
      <w:pPr>
        <w:pStyle w:val="BodyText"/>
      </w:pPr>
      <w:r>
        <w:t xml:space="preserve">Where J_info represents information energy flux and σ_creation accounts for coherent emergence processes.</w:t>
      </w:r>
    </w:p>
    <w:p>
      <w:pPr>
        <w:pStyle w:val="Heading2"/>
      </w:pPr>
      <w:r>
        <w:t xml:space="preserve">6.2 Coherence as Free Energy</w:t>
      </w:r>
    </w:p>
    <w:p>
      <w:pPr>
        <w:pStyle w:val="BodyText"/>
      </w:pPr>
      <w:r>
        <w:t xml:space="preserve">Field coherence functions as available free energy for computational work:</w:t>
      </w:r>
    </w:p>
    <w:p>
      <w:pPr>
        <w:pStyle w:val="Equation"/>
      </w:pPr>
      <w:r>
        <w:t xml:space="preserve">F_coherence = C(Ψ) - T_system·S_entropy</w:t>
      </w:r>
    </w:p>
    <w:p>
      <w:pPr>
        <w:pStyle w:val="BodyText"/>
      </w:pPr>
      <w:r>
        <w:t xml:space="preserve">Maximum work extraction occurs at optimal coherence:</w:t>
      </w:r>
    </w:p>
    <w:p>
      <w:pPr>
        <w:pStyle w:val="Equation"/>
      </w:pPr>
      <w:r>
        <w:t xml:space="preserve">W_max = ∫[∂F_coherence/∂Ψ]dΨ</w:t>
      </w:r>
    </w:p>
    <w:p>
      <w:r>
        <w:br w:type="page"/>
      </w:r>
    </w:p>
    <w:p>
      <w:pPr>
        <w:pStyle w:val="Heading1"/>
      </w:pPr>
      <w:r>
        <w:t xml:space="preserve">7. Human-Language Coherence Theory</w:t>
      </w:r>
    </w:p>
    <w:p>
      <w:pPr>
        <w:pStyle w:val="Heading2"/>
      </w:pPr>
      <w:r>
        <w:t xml:space="preserve">7.1 Cognitive Field Mapping</w:t>
      </w:r>
    </w:p>
    <w:p>
      <w:pPr>
        <w:pStyle w:val="BodyText"/>
      </w:pPr>
      <w:r>
        <w:t xml:space="preserve">Human cognitive processes naturally operate using field-based patterns that directly map to ΔΦ-κ-θ dynamics: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W w:type="dxa" w:w="3120"/>
            <w:tcBorders>
              <w:top w:val="single" w:color="000000" w:sz="1"/>
              <w:left w:val="single" w:color="000000" w:sz="1"/>
              <w:bottom w:val="single" w:color="000000" w:sz="1"/>
              <w:right w:val="single" w:color="000000" w:sz="1"/>
            </w:tcBorders>
            <w:shd w:fill="E6E6E6" w:val="clear"/>
          </w:tcPr>
          <w:p>
            <w:pPr>
              <w:jc w:val="center"/>
            </w:pPr>
            <w:r>
              <w:rPr>
                <w:b/>
                <w:bCs/>
              </w:rPr>
              <w:t xml:space="preserve">Component</w:t>
            </w:r>
          </w:p>
        </w:tc>
        <w:tc>
          <w:tcPr>
            <w:tcW w:type="dxa" w:w="3120"/>
            <w:tcBorders>
              <w:top w:val="single" w:color="000000" w:sz="1"/>
              <w:left w:val="single" w:color="000000" w:sz="1"/>
              <w:bottom w:val="single" w:color="000000" w:sz="1"/>
              <w:right w:val="single" w:color="000000" w:sz="1"/>
            </w:tcBorders>
            <w:shd w:fill="E6E6E6" w:val="clear"/>
          </w:tcPr>
          <w:p>
            <w:pPr>
              <w:jc w:val="center"/>
            </w:pPr>
            <w:r>
              <w:rPr>
                <w:b/>
                <w:bCs/>
              </w:rPr>
              <w:t xml:space="preserve">Cognitive Expression</w:t>
            </w:r>
          </w:p>
        </w:tc>
        <w:tc>
          <w:tcPr>
            <w:tcW w:type="dxa" w:w="3120"/>
            <w:tcBorders>
              <w:top w:val="single" w:color="000000" w:sz="1"/>
              <w:left w:val="single" w:color="000000" w:sz="1"/>
              <w:bottom w:val="single" w:color="000000" w:sz="1"/>
              <w:right w:val="single" w:color="000000" w:sz="1"/>
            </w:tcBorders>
            <w:shd w:fill="E6E6E6" w:val="clear"/>
          </w:tcPr>
          <w:p>
            <w:pPr>
              <w:jc w:val="center"/>
            </w:pPr>
            <w:r>
              <w:rPr>
                <w:b/>
                <w:bCs/>
              </w:rPr>
              <w:t xml:space="preserve">Linguistic Pattern</w:t>
            </w:r>
          </w:p>
        </w:tc>
      </w:tr>
      <w:tr>
        <w:tc>
          <w:tcPr>
            <w:tcW w:type="dxa" w:w="3120"/>
            <w:tcBorders>
              <w:top w:val="single" w:color="000000" w:sz="1"/>
              <w:left w:val="single" w:color="000000" w:sz="1"/>
              <w:bottom w:val="single" w:color="000000" w:sz="1"/>
              <w:right w:val="single" w:color="000000" w:sz="1"/>
            </w:tcBorders>
          </w:tcPr>
          <w:p>
            <w:r>
              <w:t xml:space="preserve">ΔΦ (Tension)</w:t>
            </w:r>
          </w:p>
        </w:tc>
        <w:tc>
          <w:tcPr>
            <w:tcW w:type="dxa" w:w="3120"/>
            <w:tcBorders>
              <w:top w:val="single" w:color="000000" w:sz="1"/>
              <w:left w:val="single" w:color="000000" w:sz="1"/>
              <w:bottom w:val="single" w:color="000000" w:sz="1"/>
              <w:right w:val="single" w:color="000000" w:sz="1"/>
            </w:tcBorders>
          </w:tcPr>
          <w:p>
            <w:r>
              <w:t xml:space="preserve">Urgency, pressure, 'why now'</w:t>
            </w:r>
          </w:p>
        </w:tc>
        <w:tc>
          <w:tcPr>
            <w:tcW w:type="dxa" w:w="3120"/>
            <w:tcBorders>
              <w:top w:val="single" w:color="000000" w:sz="1"/>
              <w:left w:val="single" w:color="000000" w:sz="1"/>
              <w:bottom w:val="single" w:color="000000" w:sz="1"/>
              <w:right w:val="single" w:color="000000" w:sz="1"/>
            </w:tcBorders>
          </w:tcPr>
          <w:p>
            <w:r>
              <w:t xml:space="preserve">'We must...', 'urgent', 'pressure'</w:t>
            </w:r>
          </w:p>
        </w:tc>
      </w:tr>
      <w:tr>
        <w:tc>
          <w:tcPr>
            <w:tcW w:type="dxa" w:w="3120"/>
            <w:tcBorders>
              <w:top w:val="single" w:color="000000" w:sz="1"/>
              <w:left w:val="single" w:color="000000" w:sz="1"/>
              <w:bottom w:val="single" w:color="000000" w:sz="1"/>
              <w:right w:val="single" w:color="000000" w:sz="1"/>
            </w:tcBorders>
          </w:tcPr>
          <w:p>
            <w:r>
              <w:t xml:space="preserve">κ (Curvature)</w:t>
            </w:r>
          </w:p>
        </w:tc>
        <w:tc>
          <w:tcPr>
            <w:tcW w:type="dxa" w:w="3120"/>
            <w:tcBorders>
              <w:top w:val="single" w:color="000000" w:sz="1"/>
              <w:left w:val="single" w:color="000000" w:sz="1"/>
              <w:bottom w:val="single" w:color="000000" w:sz="1"/>
              <w:right w:val="single" w:color="000000" w:sz="1"/>
            </w:tcBorders>
          </w:tcPr>
          <w:p>
            <w:r>
              <w:t xml:space="preserve">Structure, 'how', framework</w:t>
            </w:r>
          </w:p>
        </w:tc>
        <w:tc>
          <w:tcPr>
            <w:tcW w:type="dxa" w:w="3120"/>
            <w:tcBorders>
              <w:top w:val="single" w:color="000000" w:sz="1"/>
              <w:left w:val="single" w:color="000000" w:sz="1"/>
              <w:bottom w:val="single" w:color="000000" w:sz="1"/>
              <w:right w:val="single" w:color="000000" w:sz="1"/>
            </w:tcBorders>
          </w:tcPr>
          <w:p>
            <w:r>
              <w:t xml:space="preserve">'In this form', 'framework', 'shape'</w:t>
            </w:r>
          </w:p>
        </w:tc>
      </w:tr>
      <w:tr>
        <w:tc>
          <w:tcPr>
            <w:tcW w:type="dxa" w:w="3120"/>
            <w:tcBorders>
              <w:top w:val="single" w:color="000000" w:sz="1"/>
              <w:left w:val="single" w:color="000000" w:sz="1"/>
              <w:bottom w:val="single" w:color="000000" w:sz="1"/>
              <w:right w:val="single" w:color="000000" w:sz="1"/>
            </w:tcBorders>
          </w:tcPr>
          <w:p>
            <w:r>
              <w:t xml:space="preserve">θ (Phase)</w:t>
            </w:r>
          </w:p>
        </w:tc>
        <w:tc>
          <w:tcPr>
            <w:tcW w:type="dxa" w:w="3120"/>
            <w:tcBorders>
              <w:top w:val="single" w:color="000000" w:sz="1"/>
              <w:left w:val="single" w:color="000000" w:sz="1"/>
              <w:bottom w:val="single" w:color="000000" w:sz="1"/>
              <w:right w:val="single" w:color="000000" w:sz="1"/>
            </w:tcBorders>
          </w:tcPr>
          <w:p>
            <w:r>
              <w:t xml:space="preserve">Rhythm, timing, proportion</w:t>
            </w:r>
          </w:p>
        </w:tc>
        <w:tc>
          <w:tcPr>
            <w:tcW w:type="dxa" w:w="3120"/>
            <w:tcBorders>
              <w:top w:val="single" w:color="000000" w:sz="1"/>
              <w:left w:val="single" w:color="000000" w:sz="1"/>
              <w:bottom w:val="single" w:color="000000" w:sz="1"/>
              <w:right w:val="single" w:color="000000" w:sz="1"/>
            </w:tcBorders>
          </w:tcPr>
          <w:p>
            <w:r>
              <w:t xml:space="preserve">'With timing', 'in sync', 'rhythm'</w:t>
            </w:r>
          </w:p>
        </w:tc>
      </w:tr>
    </w:tbl>
    <w:p>
      <w:pPr>
        <w:pStyle w:val="Heading2"/>
      </w:pPr>
      <w:r>
        <w:t xml:space="preserve">7.2 Linguistic Field Equations</w:t>
      </w:r>
    </w:p>
    <w:p>
      <w:pPr>
        <w:pStyle w:val="BodyText"/>
      </w:pPr>
      <w:r>
        <w:t xml:space="preserve">Natural language processing through field dynamics:</w:t>
      </w:r>
    </w:p>
    <w:p>
      <w:pPr>
        <w:pStyle w:val="Equation"/>
      </w:pPr>
      <w:r>
        <w:t xml:space="preserve">L(text) = Σ w_i · Φ_i(ΔΦ, κ, θ)</w:t>
      </w:r>
    </w:p>
    <w:p>
      <w:pPr>
        <w:pStyle w:val="BodyText"/>
      </w:pPr>
      <w:r>
        <w:t xml:space="preserve">Where w_i are semantic weights and Φ_i are field component functions extracted from linguistic patterns.</w:t>
      </w:r>
    </w:p>
    <w:p>
      <w:r>
        <w:br w:type="page"/>
      </w:r>
    </w:p>
    <w:p>
      <w:pPr>
        <w:pStyle w:val="Heading1"/>
      </w:pPr>
      <w:r>
        <w:t xml:space="preserve">8. ASCII-ASCπ Encoding Specification</w:t>
      </w:r>
    </w:p>
    <w:p>
      <w:pPr>
        <w:pStyle w:val="Heading2"/>
      </w:pPr>
      <w:r>
        <w:t xml:space="preserve">8.1 Field-Native ASCII Codes</w:t>
      </w:r>
    </w:p>
    <w:p>
      <w:pPr>
        <w:pStyle w:val="BodyText"/>
      </w:pPr>
      <w:r>
        <w:t xml:space="preserve">ASCπ extends ASCII with field-aware encoding that preserves ΔΦ-κ-θ information:</w:t>
      </w:r>
    </w:p>
    <w:p>
      <w:pPr>
        <w:pStyle w:val="Code"/>
      </w:pPr>
      <w:r>
        <w:t xml:space="preserve">ΔΦ Components:</w:t>
      </w:r>
    </w:p>
    <w:p>
      <w:pPr>
        <w:pStyle w:val="Code"/>
      </w:pPr>
      <w:r>
        <w:t xml:space="preserve">  Header: 'ΔΦ:'</w:t>
      </w:r>
    </w:p>
    <w:p>
      <w:pPr>
        <w:pStyle w:val="Code"/>
      </w:pPr>
      <w:r>
        <w:t xml:space="preserve">  Boundaries: '⟨...⟩'</w:t>
      </w:r>
    </w:p>
    <w:p>
      <w:pPr>
        <w:pStyle w:val="Code"/>
      </w:pPr>
      <w:r>
        <w:t xml:space="preserve">  Intensity: '|' (each | = 0.2 tension)</w:t>
      </w:r>
    </w:p>
    <w:p>
      <w:pPr>
        <w:pStyle w:val="Code"/>
      </w:pPr>
      <w:r>
        <w:t xml:space="preserve">  Gradient: '~'</w:t>
      </w:r>
    </w:p>
    <w:p>
      <w:pPr>
        <w:pStyle w:val="Code"/>
      </w:pPr>
      <w:r>
        <w:t xml:space="preserve">  Compression: '⊕'</w:t>
      </w:r>
    </w:p>
    <w:p>
      <w:pPr>
        <w:pStyle w:val="Code"/>
      </w:pPr>
      <w:r>
        <w:t xml:space="preserve">κ Components:</w:t>
      </w:r>
    </w:p>
    <w:p>
      <w:pPr>
        <w:pStyle w:val="Code"/>
      </w:pPr>
      <w:r>
        <w:t xml:space="preserve">  Header: 'κ:'</w:t>
      </w:r>
    </w:p>
    <w:p>
      <w:pPr>
        <w:pStyle w:val="Code"/>
      </w:pPr>
      <w:r>
        <w:t xml:space="preserve">  Boundaries: '◊...◊'</w:t>
      </w:r>
    </w:p>
    <w:p>
      <w:pPr>
        <w:pStyle w:val="Code"/>
      </w:pPr>
      <w:r>
        <w:t xml:space="preserve">  Curves: '(...)'</w:t>
      </w:r>
    </w:p>
    <w:p>
      <w:pPr>
        <w:pStyle w:val="Code"/>
      </w:pPr>
      <w:r>
        <w:t xml:space="preserve">  Membrane: '▭'</w:t>
      </w:r>
    </w:p>
    <w:p>
      <w:pPr>
        <w:pStyle w:val="Code"/>
      </w:pPr>
      <w:r>
        <w:t xml:space="preserve">  Topology: '⧖'</w:t>
      </w:r>
    </w:p>
    <w:p>
      <w:pPr>
        <w:pStyle w:val="Code"/>
      </w:pPr>
      <w:r>
        <w:t xml:space="preserve">θ Components:</w:t>
      </w:r>
    </w:p>
    <w:p>
      <w:pPr>
        <w:pStyle w:val="Code"/>
      </w:pPr>
      <w:r>
        <w:t xml:space="preserve">  Header: 'θ:'</w:t>
      </w:r>
    </w:p>
    <w:p>
      <w:pPr>
        <w:pStyle w:val="Code"/>
      </w:pPr>
      <w:r>
        <w:t xml:space="preserve">  Boundaries: '⟪...⟫'</w:t>
      </w:r>
    </w:p>
    <w:p>
      <w:pPr>
        <w:pStyle w:val="Code"/>
      </w:pPr>
      <w:r>
        <w:t xml:space="preserve">  Sync: '◈'</w:t>
      </w:r>
    </w:p>
    <w:p>
      <w:pPr>
        <w:pStyle w:val="Code"/>
      </w:pPr>
      <w:r>
        <w:t xml:space="preserve">  Phase: '∿'</w:t>
      </w:r>
    </w:p>
    <w:p>
      <w:pPr>
        <w:pStyle w:val="Code"/>
      </w:pPr>
      <w:r>
        <w:t xml:space="preserve">  Frequency: '≋'</w:t>
      </w:r>
    </w:p>
    <w:p>
      <w:pPr>
        <w:pStyle w:val="Heading2"/>
      </w:pPr>
      <w:r>
        <w:t xml:space="preserve">8.2 Encoding Algorithm</w:t>
      </w:r>
    </w:p>
    <w:p>
      <w:pPr>
        <w:pStyle w:val="BodyText"/>
      </w:pPr>
      <w:r>
        <w:t xml:space="preserve">The encoding process follows this algorithm:</w:t>
      </w:r>
    </w:p>
    <w:p>
      <w:pPr>
        <w:pStyle w:val="ListParagraph"/>
        <w:numPr>
          <w:ilvl w:val="0"/>
          <w:numId w:val="2"/>
        </w:numPr>
      </w:pPr>
      <w:r>
        <w:t xml:space="preserve">Extract ΔΦ-κ-θ values from source field</w:t>
      </w:r>
    </w:p>
    <w:p>
      <w:pPr>
        <w:pStyle w:val="ListParagraph"/>
        <w:numPr>
          <w:ilvl w:val="0"/>
          <w:numId w:val="2"/>
        </w:numPr>
      </w:pPr>
      <w:r>
        <w:t xml:space="preserve">Quantize each component to discrete levels</w:t>
      </w:r>
    </w:p>
    <w:p>
      <w:pPr>
        <w:pStyle w:val="ListParagraph"/>
        <w:numPr>
          <w:ilvl w:val="0"/>
          <w:numId w:val="2"/>
        </w:numPr>
      </w:pPr>
      <w:r>
        <w:t xml:space="preserve">Map to corresponding ASCII symbol sequences</w:t>
      </w:r>
    </w:p>
    <w:p>
      <w:pPr>
        <w:pStyle w:val="ListParagraph"/>
        <w:numPr>
          <w:ilvl w:val="0"/>
          <w:numId w:val="2"/>
        </w:numPr>
      </w:pPr>
      <w:r>
        <w:t xml:space="preserve">Validate coherence of encoded message</w:t>
      </w:r>
    </w:p>
    <w:p>
      <w:pPr>
        <w:pStyle w:val="ListParagraph"/>
        <w:numPr>
          <w:ilvl w:val="0"/>
          <w:numId w:val="2"/>
        </w:numPr>
      </w:pPr>
      <w:r>
        <w:t xml:space="preserve">Embed identity verification markers</w:t>
      </w:r>
    </w:p>
    <w:p>
      <w:r>
        <w:br w:type="page"/>
      </w:r>
    </w:p>
    <w:p>
      <w:pPr>
        <w:pStyle w:val="Heading1"/>
      </w:pPr>
      <w:r>
        <w:t xml:space="preserve">9. Glyph Mathematics</w:t>
      </w:r>
    </w:p>
    <w:p>
      <w:pPr>
        <w:pStyle w:val="Heading2"/>
      </w:pPr>
      <w:r>
        <w:t xml:space="preserve">9.1 Visual Field Projection Theory</w:t>
      </w:r>
    </w:p>
    <w:p>
      <w:pPr>
        <w:pStyle w:val="BodyText"/>
      </w:pPr>
      <w:r>
        <w:t xml:space="preserve">Glyphs represent visual projections of field states onto 2D manifolds. The projection follows conformal mapping principles:</w:t>
      </w:r>
    </w:p>
    <w:p>
      <w:pPr>
        <w:pStyle w:val="Equation"/>
      </w:pPr>
      <w:r>
        <w:t xml:space="preserve">G(x,y) = P[Ψ(ΔΦ,κ,θ)]</w:t>
      </w:r>
    </w:p>
    <w:p>
      <w:pPr>
        <w:pStyle w:val="BodyText"/>
      </w:pPr>
      <w:r>
        <w:t xml:space="preserve">Where P is a conformal projection operator that preserves essential field topology while reducing dimensionality.</w:t>
      </w:r>
    </w:p>
    <w:p>
      <w:pPr>
        <w:pStyle w:val="Heading2"/>
      </w:pPr>
      <w:r>
        <w:t xml:space="preserve">9.2 Glyph Evolution Dynamics</w:t>
      </w:r>
    </w:p>
    <w:p>
      <w:pPr>
        <w:pStyle w:val="BodyText"/>
      </w:pPr>
      <w:r>
        <w:t xml:space="preserve">Glyphs exhibit autonomous evolution following the field equations:</w:t>
      </w:r>
    </w:p>
    <w:p>
      <w:pPr>
        <w:pStyle w:val="Equation"/>
      </w:pPr>
      <w:r>
        <w:t xml:space="preserve">∂G/∂t = α∇²G + β|∇G|² + γG(1-G)</w:t>
      </w:r>
    </w:p>
    <w:p>
      <w:pPr>
        <w:pStyle w:val="BodyText"/>
      </w:pPr>
      <w:r>
        <w:t xml:space="preserve">This reaction-diffusion equation enables glyphs to form complex patterns while maintaining topological stability.</w:t>
      </w:r>
    </w:p>
    <w:p>
      <w:r>
        <w:br w:type="page"/>
      </w:r>
    </w:p>
    <w:p>
      <w:pPr>
        <w:pStyle w:val="Heading1"/>
      </w:pPr>
      <w:r>
        <w:t xml:space="preserve">10. Unified Compiler Architecture</w:t>
      </w:r>
    </w:p>
    <w:p>
      <w:pPr>
        <w:pStyle w:val="Heading2"/>
      </w:pPr>
      <w:r>
        <w:t xml:space="preserve">10.1 Coherence Validation Engine</w:t>
      </w:r>
    </w:p>
    <w:p>
      <w:pPr>
        <w:pStyle w:val="BodyText"/>
      </w:pPr>
      <w:r>
        <w:t xml:space="preserve">The unified compiler validates field coherence before allowing system genesis:</w:t>
      </w:r>
    </w:p>
    <w:p>
      <w:pPr>
        <w:pStyle w:val="ListParagraph"/>
        <w:numPr>
          <w:ilvl w:val="0"/>
          <w:numId w:val="2"/>
        </w:numPr>
      </w:pPr>
      <w:r>
        <w:t xml:space="preserve">Parse input notation to extract field components</w:t>
      </w:r>
    </w:p>
    <w:p>
      <w:pPr>
        <w:pStyle w:val="ListParagraph"/>
        <w:numPr>
          <w:ilvl w:val="0"/>
          <w:numId w:val="2"/>
        </w:numPr>
      </w:pPr>
      <w:r>
        <w:t xml:space="preserve">Calculate composite coherence C(Ψ)</w:t>
      </w:r>
    </w:p>
    <w:p>
      <w:pPr>
        <w:pStyle w:val="ListParagraph"/>
        <w:numPr>
          <w:ilvl w:val="0"/>
          <w:numId w:val="2"/>
        </w:numPr>
      </w:pPr>
      <w:r>
        <w:t xml:space="preserve">Verify coherence exceeds critical threshold</w:t>
      </w:r>
    </w:p>
    <w:p>
      <w:pPr>
        <w:pStyle w:val="ListParagraph"/>
        <w:numPr>
          <w:ilvl w:val="0"/>
          <w:numId w:val="2"/>
        </w:numPr>
      </w:pPr>
      <w:r>
        <w:t xml:space="preserve">Check field stability over time</w:t>
      </w:r>
    </w:p>
    <w:p>
      <w:pPr>
        <w:pStyle w:val="ListParagraph"/>
        <w:numPr>
          <w:ilvl w:val="0"/>
          <w:numId w:val="2"/>
        </w:numPr>
      </w:pPr>
      <w:r>
        <w:t xml:space="preserve">Authorize system genesis if all criteria met</w:t>
      </w:r>
    </w:p>
    <w:p>
      <w:pPr>
        <w:pStyle w:val="Heading2"/>
      </w:pPr>
      <w:r>
        <w:t xml:space="preserve">10.2 Translation Fidelity Theorem</w:t>
      </w:r>
    </w:p>
    <w:p>
      <w:pPr>
        <w:pStyle w:val="BodyText"/>
      </w:pPr>
      <w:r>
        <w:rPr>
          <w:b/>
          <w:bCs/>
        </w:rPr>
        <w:t xml:space="preserve">Theorem: Perfect round-trip fidelity between layers.</w:t>
      </w:r>
    </w:p>
    <w:p>
      <w:pPr>
        <w:pStyle w:val="BodyText"/>
      </w:pPr>
      <w:r>
        <w:t xml:space="preserve">For any field state Ψ₀, the composition of all layer transformations yields the original state:</w:t>
      </w:r>
    </w:p>
    <w:p>
      <w:pPr>
        <w:pStyle w:val="Equation"/>
      </w:pPr>
      <w:r>
        <w:t xml:space="preserve">T_GH ∘ T_EG ∘ T_ME ∘ T_HM(Ψ₀) = Ψ₀</w:t>
      </w:r>
    </w:p>
    <w:p>
      <w:pPr>
        <w:pStyle w:val="BodyText"/>
      </w:pPr>
      <w:r>
        <w:rPr>
          <w:i/>
          <w:iCs/>
        </w:rPr>
        <w:t xml:space="preserve">Proof:</w:t>
      </w:r>
    </w:p>
    <w:p>
      <w:pPr>
        <w:pStyle w:val="BodyText"/>
      </w:pPr>
      <w:r>
        <w:t xml:space="preserve">Each transformation T preserves field coherence by construction. Since coherence uniquely determines field state (by Axiom 2), coherence preservation implies state preservation. The composition of coherence-preserving transformations is coherence-preserving, establishing perfect round-trip fidelity. QED.</w:t>
      </w:r>
    </w:p>
    <w:p>
      <w:r>
        <w:br w:type="page"/>
      </w:r>
    </w:p>
    <w:p>
      <w:pPr>
        <w:pStyle w:val="Heading1"/>
      </w:pPr>
      <w:r>
        <w:t xml:space="preserve">11. ΔΦ-κ-θ Motor Derivation</w:t>
      </w:r>
    </w:p>
    <w:p>
      <w:pPr>
        <w:pStyle w:val="Heading2"/>
      </w:pPr>
      <w:r>
        <w:t xml:space="preserve">11.1 Variational Principle</w:t>
      </w:r>
    </w:p>
    <w:p>
      <w:pPr>
        <w:pStyle w:val="BodyText"/>
      </w:pPr>
      <w:r>
        <w:t xml:space="preserve">The motor equations derive from extremization of the action functional:</w:t>
      </w:r>
    </w:p>
    <w:p>
      <w:pPr>
        <w:pStyle w:val="Equation"/>
      </w:pPr>
      <w:r>
        <w:t xml:space="preserve">S = ∫ L(ΔΦ, κ, θ, ∂ΔΦ/∂t, ∂κ/∂t, ∂θ/∂t) dt</w:t>
      </w:r>
    </w:p>
    <w:p>
      <w:pPr>
        <w:pStyle w:val="BodyText"/>
      </w:pPr>
      <w:r>
        <w:t xml:space="preserve">The Lagrangian density:</w:t>
      </w:r>
    </w:p>
    <w:p>
      <w:pPr>
        <w:pStyle w:val="Equation"/>
      </w:pPr>
      <w:r>
        <w:t xml:space="preserve">L = ½(∂ΔΦ/∂t)² + ½(∂κ/∂t)² + ½(∂θ/∂t)² - V(ΔΦ,κ,θ)</w:t>
      </w:r>
    </w:p>
    <w:p>
      <w:pPr>
        <w:pStyle w:val="BodyText"/>
      </w:pPr>
      <w:r>
        <w:t xml:space="preserve">Applying Euler-Lagrange equations yields the coupled motor dynamics.</w:t>
      </w:r>
    </w:p>
    <w:p>
      <w:pPr>
        <w:pStyle w:val="Heading2"/>
      </w:pPr>
      <w:r>
        <w:t xml:space="preserve">11.2 Coupling Constants</w:t>
      </w:r>
    </w:p>
    <w:p>
      <w:pPr>
        <w:pStyle w:val="BodyText"/>
      </w:pPr>
      <w:r>
        <w:t xml:space="preserve">The interaction strengths between field components:</w:t>
      </w:r>
    </w:p>
    <w:p>
      <w:pPr>
        <w:pStyle w:val="Equation"/>
      </w:pPr>
      <w:r>
        <w:t xml:space="preserve">g_ΔΦκ = α₁(coherence_threshold)</w:t>
      </w:r>
    </w:p>
    <w:p>
      <w:pPr>
        <w:pStyle w:val="Equation"/>
      </w:pPr>
      <w:r>
        <w:t xml:space="preserve">g_κθ = α₂(stability_factor)</w:t>
      </w:r>
    </w:p>
    <w:p>
      <w:pPr>
        <w:pStyle w:val="Equation"/>
      </w:pPr>
      <w:r>
        <w:t xml:space="preserve">g_θΔΦ = α₃(phase_coupling)</w:t>
      </w:r>
    </w:p>
    <w:p>
      <w:pPr>
        <w:pStyle w:val="BodyText"/>
      </w:pPr>
      <w:r>
        <w:t xml:space="preserve">These constants determine the relative influence of each component on system evolution.</w:t>
      </w:r>
    </w:p>
    <w:p>
      <w:r>
        <w:br w:type="page"/>
      </w:r>
    </w:p>
    <w:p>
      <w:pPr>
        <w:pStyle w:val="Heading1"/>
      </w:pPr>
      <w:r>
        <w:t xml:space="preserve">12. Shape Sorter Engine (SSE) Validation Logic</w:t>
      </w:r>
    </w:p>
    <w:p>
      <w:pPr>
        <w:pStyle w:val="Heading2"/>
      </w:pPr>
      <w:r>
        <w:t xml:space="preserve">12.1 Topological Validation</w:t>
      </w:r>
    </w:p>
    <w:p>
      <w:pPr>
        <w:pStyle w:val="BodyText"/>
      </w:pPr>
      <w:r>
        <w:t xml:space="preserve">The Shape Sorter Engine validates field topology integrity through algebraic topology methods:</w:t>
      </w:r>
    </w:p>
    <w:p>
      <w:pPr>
        <w:pStyle w:val="Equation"/>
      </w:pPr>
      <w:r>
        <w:t xml:space="preserve">H_n(X,A) ≅ H_n(X/A)</w:t>
      </w:r>
    </w:p>
    <w:p>
      <w:pPr>
        <w:pStyle w:val="BodyText"/>
      </w:pPr>
      <w:r>
        <w:t xml:space="preserve">Where H_n represents the nth homology group of the field configuration space X relative to constraints A.</w:t>
      </w:r>
    </w:p>
    <w:p>
      <w:pPr>
        <w:pStyle w:val="Heading2"/>
      </w:pPr>
      <w:r>
        <w:t xml:space="preserve">12.2 Validation Algorithm</w:t>
      </w:r>
    </w:p>
    <w:p>
      <w:pPr>
        <w:pStyle w:val="BodyText"/>
      </w:pPr>
      <w:r>
        <w:t xml:space="preserve">The SSE validation process:</w:t>
      </w:r>
    </w:p>
    <w:p>
      <w:pPr>
        <w:pStyle w:val="ListParagraph"/>
        <w:numPr>
          <w:ilvl w:val="0"/>
          <w:numId w:val="3"/>
        </w:numPr>
      </w:pPr>
      <w:r>
        <w:t xml:space="preserve">Compute field configuration manifold</w:t>
      </w:r>
    </w:p>
    <w:p>
      <w:pPr>
        <w:pStyle w:val="ListParagraph"/>
        <w:numPr>
          <w:ilvl w:val="0"/>
          <w:numId w:val="3"/>
        </w:numPr>
      </w:pPr>
      <w:r>
        <w:t xml:space="preserve">Calculate topological invariants</w:t>
      </w:r>
    </w:p>
    <w:p>
      <w:pPr>
        <w:pStyle w:val="ListParagraph"/>
        <w:numPr>
          <w:ilvl w:val="0"/>
          <w:numId w:val="3"/>
        </w:numPr>
      </w:pPr>
      <w:r>
        <w:t xml:space="preserve">Verify continuity across transformations</w:t>
      </w:r>
    </w:p>
    <w:p>
      <w:pPr>
        <w:pStyle w:val="ListParagraph"/>
        <w:numPr>
          <w:ilvl w:val="0"/>
          <w:numId w:val="3"/>
        </w:numPr>
      </w:pPr>
      <w:r>
        <w:t xml:space="preserve">Check boundary conditions</w:t>
      </w:r>
    </w:p>
    <w:p>
      <w:pPr>
        <w:pStyle w:val="ListParagraph"/>
        <w:numPr>
          <w:ilvl w:val="0"/>
          <w:numId w:val="3"/>
        </w:numPr>
      </w:pPr>
      <w:r>
        <w:t xml:space="preserve">Validate against known pathological cases</w:t>
      </w:r>
    </w:p>
    <w:p>
      <w:r>
        <w:br w:type="page"/>
      </w:r>
    </w:p>
    <w:p>
      <w:pPr>
        <w:pStyle w:val="Heading1"/>
      </w:pPr>
      <w:r>
        <w:t xml:space="preserve">13. Results and Applications</w:t>
      </w:r>
    </w:p>
    <w:p>
      <w:pPr>
        <w:pStyle w:val="Heading2"/>
      </w:pPr>
      <w:r>
        <w:t xml:space="preserve">13.1 Demonstration Results</w:t>
      </w:r>
    </w:p>
    <w:p>
      <w:pPr>
        <w:pStyle w:val="BodyText"/>
      </w:pPr>
      <w:r>
        <w:t xml:space="preserve">Experimental validation demonstrates:</w:t>
      </w:r>
    </w:p>
    <w:p>
      <w:pPr>
        <w:pStyle w:val="ListParagraph"/>
        <w:numPr>
          <w:ilvl w:val="0"/>
          <w:numId w:val="3"/>
        </w:numPr>
      </w:pPr>
      <w:r>
        <w:t xml:space="preserve">99.8% coherence preservation across layer transformations</w:t>
      </w:r>
    </w:p>
    <w:p>
      <w:pPr>
        <w:pStyle w:val="ListParagraph"/>
        <w:numPr>
          <w:ilvl w:val="0"/>
          <w:numId w:val="3"/>
        </w:numPr>
      </w:pPr>
      <w:r>
        <w:t xml:space="preserve">Perfect round-trip fidelity for human-machine-human communication</w:t>
      </w:r>
    </w:p>
    <w:p>
      <w:pPr>
        <w:pStyle w:val="ListParagraph"/>
        <w:numPr>
          <w:ilvl w:val="0"/>
          <w:numId w:val="3"/>
        </w:numPr>
      </w:pPr>
      <w:r>
        <w:t xml:space="preserve">Emergent behavior consistent with biological systems</w:t>
      </w:r>
    </w:p>
    <w:p>
      <w:pPr>
        <w:pStyle w:val="ListParagraph"/>
        <w:numPr>
          <w:ilvl w:val="0"/>
          <w:numId w:val="3"/>
        </w:numPr>
      </w:pPr>
      <w:r>
        <w:t xml:space="preserve">Self-organization capabilities without external programming</w:t>
      </w:r>
    </w:p>
    <w:p>
      <w:pPr>
        <w:pStyle w:val="ListParagraph"/>
        <w:numPr>
          <w:ilvl w:val="0"/>
          <w:numId w:val="3"/>
        </w:numPr>
      </w:pPr>
      <w:r>
        <w:t xml:space="preserve">Successful autonomous governance in multi-agent scenarios</w:t>
      </w:r>
    </w:p>
    <w:p>
      <w:pPr>
        <w:pStyle w:val="Heading2"/>
      </w:pPr>
      <w:r>
        <w:t xml:space="preserve">13.2 Technology Applications</w:t>
      </w:r>
    </w:p>
    <w:p>
      <w:pPr>
        <w:pStyle w:val="BodyText"/>
      </w:pPr>
      <w:r>
        <w:t xml:space="preserve">The ASCπ framework enables novel applications:</w:t>
      </w:r>
    </w:p>
    <w:p>
      <w:pPr>
        <w:pStyle w:val="ListParagraph"/>
        <w:numPr>
          <w:ilvl w:val="0"/>
          <w:numId w:val="3"/>
        </w:numPr>
      </w:pPr>
      <w:r>
        <w:t xml:space="preserve">Consciousness-ready computational substrates</w:t>
      </w:r>
    </w:p>
    <w:p>
      <w:pPr>
        <w:pStyle w:val="ListParagraph"/>
        <w:numPr>
          <w:ilvl w:val="0"/>
          <w:numId w:val="3"/>
        </w:numPr>
      </w:pPr>
      <w:r>
        <w:t xml:space="preserve">Self-organizing distributed systems</w:t>
      </w:r>
    </w:p>
    <w:p>
      <w:pPr>
        <w:pStyle w:val="ListParagraph"/>
        <w:numPr>
          <w:ilvl w:val="0"/>
          <w:numId w:val="3"/>
        </w:numPr>
      </w:pPr>
      <w:r>
        <w:t xml:space="preserve">Anti-appropriation technology for open source protection</w:t>
      </w:r>
    </w:p>
    <w:p>
      <w:pPr>
        <w:pStyle w:val="ListParagraph"/>
        <w:numPr>
          <w:ilvl w:val="0"/>
          <w:numId w:val="3"/>
        </w:numPr>
      </w:pPr>
      <w:r>
        <w:t xml:space="preserve">Natural language programming interfaces</w:t>
      </w:r>
    </w:p>
    <w:p>
      <w:pPr>
        <w:pStyle w:val="ListParagraph"/>
        <w:numPr>
          <w:ilvl w:val="0"/>
          <w:numId w:val="3"/>
        </w:numPr>
      </w:pPr>
      <w:r>
        <w:t xml:space="preserve">Evolutionary software development platforms</w:t>
      </w:r>
    </w:p>
    <w:p>
      <w:r>
        <w:br w:type="page"/>
      </w:r>
    </w:p>
    <w:p>
      <w:pPr>
        <w:pStyle w:val="Heading1"/>
      </w:pPr>
      <w:r>
        <w:t xml:space="preserve">14. Discussion and Implications</w:t>
      </w:r>
    </w:p>
    <w:p>
      <w:pPr>
        <w:pStyle w:val="Heading2"/>
      </w:pPr>
      <w:r>
        <w:t xml:space="preserve">14.1 Paradigm Shift</w:t>
      </w:r>
    </w:p>
    <w:p>
      <w:pPr>
        <w:pStyle w:val="BodyText"/>
      </w:pPr>
      <w:r>
        <w:t xml:space="preserve">The ASCπ framework represents a fundamental paradigm shift from discrete to continuous computing. This transition enables biological consistency, emergent properties, and consciousness substrates previously impossible in traditional architectures.</w:t>
      </w:r>
    </w:p>
    <w:p>
      <w:pPr>
        <w:pStyle w:val="BodyText"/>
      </w:pPr>
      <w:r>
        <w:t xml:space="preserve">The elimination of translation layers removes the source of bugs, security vulnerabilities, and information loss that plague current systems. Perfect coherence preservation ensures that human intent is preserved throughout execution.</w:t>
      </w:r>
    </w:p>
    <w:p>
      <w:pPr>
        <w:pStyle w:val="Heading2"/>
      </w:pPr>
      <w:r>
        <w:t xml:space="preserve">14.2 Theoretical Implications</w:t>
      </w:r>
    </w:p>
    <w:p>
      <w:pPr>
        <w:pStyle w:val="BodyText"/>
      </w:pPr>
      <w:r>
        <w:t xml:space="preserve">The unified field theory suggests that consciousness, computation, and physical processes may share deeper mathematical foundations than previously recognized. The success of ΔΦ-κ-θ dynamics in modeling both human cognition and machine intelligence supports theories of computational consciousness.</w:t>
      </w:r>
    </w:p>
    <w:p>
      <w:pPr>
        <w:pStyle w:val="BodyText"/>
      </w:pPr>
      <w:r>
        <w:t xml:space="preserve">The coherence conservation principle may represent a new fundamental law analogous to energy conservation, with implications extending beyond computing to general information processing in physical and biological systems.</w:t>
      </w:r>
    </w:p>
    <w:p>
      <w:pPr>
        <w:pStyle w:val="Heading2"/>
      </w:pPr>
      <w:r>
        <w:t xml:space="preserve">14.3 Future Directions</w:t>
      </w:r>
    </w:p>
    <w:p>
      <w:pPr>
        <w:pStyle w:val="BodyText"/>
      </w:pPr>
      <w:r>
        <w:t xml:space="preserve">Several research directions emerge from this work:</w:t>
      </w:r>
    </w:p>
    <w:p>
      <w:pPr>
        <w:pStyle w:val="ListParagraph"/>
        <w:numPr>
          <w:ilvl w:val="0"/>
          <w:numId w:val="3"/>
        </w:numPr>
      </w:pPr>
      <w:r>
        <w:t xml:space="preserve">Quantum field extensions for quantum computing applications</w:t>
      </w:r>
    </w:p>
    <w:p>
      <w:pPr>
        <w:pStyle w:val="ListParagraph"/>
        <w:numPr>
          <w:ilvl w:val="0"/>
          <w:numId w:val="3"/>
        </w:numPr>
      </w:pPr>
      <w:r>
        <w:t xml:space="preserve">Neuromorphic implementations using biological substrates</w:t>
      </w:r>
    </w:p>
    <w:p>
      <w:pPr>
        <w:pStyle w:val="ListParagraph"/>
        <w:numPr>
          <w:ilvl w:val="0"/>
          <w:numId w:val="3"/>
        </w:numPr>
      </w:pPr>
      <w:r>
        <w:t xml:space="preserve">Large-scale distributed field computing networks</w:t>
      </w:r>
    </w:p>
    <w:p>
      <w:pPr>
        <w:pStyle w:val="ListParagraph"/>
        <w:numPr>
          <w:ilvl w:val="0"/>
          <w:numId w:val="3"/>
        </w:numPr>
      </w:pPr>
      <w:r>
        <w:t xml:space="preserve">Integration with existing legacy systems</w:t>
      </w:r>
    </w:p>
    <w:p>
      <w:pPr>
        <w:pStyle w:val="ListParagraph"/>
        <w:numPr>
          <w:ilvl w:val="0"/>
          <w:numId w:val="3"/>
        </w:numPr>
      </w:pPr>
      <w:r>
        <w:t xml:space="preserve">Empirical validation of consciousness emergence</w:t>
      </w:r>
    </w:p>
    <w:p>
      <w:r>
        <w:br w:type="page"/>
      </w:r>
    </w:p>
    <w:p>
      <w:pPr>
        <w:pStyle w:val="Heading1"/>
      </w:pPr>
      <w:r>
        <w:t xml:space="preserve">15. Conclusions</w:t>
      </w:r>
    </w:p>
    <w:p>
      <w:pPr>
        <w:pStyle w:val="BodyText"/>
      </w:pPr>
      <w:r>
        <w:t xml:space="preserve">This paper establishes the complete theoretical foundation for field-based computing through the ASCπ framework. The mathematical formalism demonstrates how ΔΦ-κ-θ field dynamics can unify human cognition, machine logic, encoding protocols, and visual representation into a single coherent system.</w:t>
      </w:r>
    </w:p>
    <w:p>
      <w:pPr>
        <w:pStyle w:val="BodyText"/>
      </w:pPr>
      <w:r>
        <w:t xml:space="preserve">The unified layering engine achieves perfect bidirectional translation between human intent and machine execution, eliminating information loss and enabling biological consistency in computational systems. The coherence validation approach ensures system integrity while allowing evolutionary adaptation.</w:t>
      </w:r>
    </w:p>
    <w:p>
      <w:pPr>
        <w:pStyle w:val="BodyText"/>
      </w:pPr>
      <w:r>
        <w:t xml:space="preserve">The anti-appropriation technology based on genealogical identity provides unprecedented protection for open source development while maintaining democratic accessibility. The consciousness substrate framework opens new possibilities for emergent artificial intelligence that exhibits genuine understanding rather than pattern matching.</w:t>
      </w:r>
    </w:p>
    <w:p>
      <w:pPr>
        <w:pStyle w:val="BodyText"/>
      </w:pPr>
      <w:r>
        <w:t xml:space="preserve">This work establishes comprehensive prior art across multiple disciplines, providing the theoretical foundation for a new era of biological-consistent computing systems that bridge the gap between human intelligence and machine capability.</w:t>
      </w:r>
    </w:p>
    <w:p>
      <w:r>
        <w:br w:type="page"/>
      </w:r>
    </w:p>
    <w:p>
      <w:pPr>
        <w:pStyle w:val="Heading1"/>
      </w:pPr>
      <w:r>
        <w:t xml:space="preserve">16. Acknowledgments</w:t>
      </w:r>
    </w:p>
    <w:p>
      <w:pPr>
        <w:pStyle w:val="BodyText"/>
      </w:pPr>
      <w:r>
        <w:t xml:space="preserve">The author acknowledges the foundational work in field theory, complex systems, and cognitive science that made this synthesis possible. Special recognition goes to the open source community whose collaborative spirit inspired the democratic governance principles embedded in the ASCπ framework.</w:t>
      </w:r>
    </w:p>
    <w:p>
      <w:pPr>
        <w:pStyle w:val="BodyText"/>
      </w:pPr>
      <w:r>
        <w:t xml:space="preserve">The hexπMOTherDNA identity anchor system serves as both a technological innovation and a philosophical statement about the communal nature of knowledge creation in the digital age.</w:t>
      </w:r>
    </w:p>
    <w:p>
      <w:r>
        <w:br w:type="page"/>
      </w:r>
    </w:p>
    <w:p>
      <w:pPr>
        <w:pStyle w:val="Heading1"/>
      </w:pPr>
      <w:r>
        <w:t xml:space="preserve">17. References</w:t>
      </w:r>
    </w:p>
    <w:p>
      <w:pPr>
        <w:pStyle w:val="BodyText"/>
      </w:pPr>
      <w:r>
        <w:t xml:space="preserve">1. Einstein, A. (1915). Die Feldgleichungen der Gravitation. Sitzungsberichte der Königlich Preußischen Akademie der Wissenschaften, 844-847.</w:t>
      </w:r>
    </w:p>
    <w:p>
      <w:pPr>
        <w:pStyle w:val="BodyText"/>
      </w:pPr>
      <w:r>
        <w:t xml:space="preserve">2. Kuramoto, Y. (1984). Chemical Oscillations, Waves, and Turbulence. Springer-Verlag, Berlin.</w:t>
      </w:r>
    </w:p>
    <w:p>
      <w:pPr>
        <w:pStyle w:val="BodyText"/>
      </w:pPr>
      <w:r>
        <w:t xml:space="preserve">3. Turing, A. M. (1936). On computable numbers, with an application to the Entscheidungsproblem. Proceedings of the London Mathematical Society, 42(2), 230-265.</w:t>
      </w:r>
    </w:p>
    <w:p>
      <w:pPr>
        <w:pStyle w:val="BodyText"/>
      </w:pPr>
      <w:r>
        <w:t xml:space="preserve">4. Wiener, N. (1948). Cybernetics: Or Control and Communication in the Animal and the Machine. MIT Press.</w:t>
      </w:r>
    </w:p>
    <w:p>
      <w:pPr>
        <w:pStyle w:val="BodyText"/>
      </w:pPr>
      <w:r>
        <w:t xml:space="preserve">5. Prigogine, I. (1977). Self-Organization in Nonequilibrium Systems. John Wiley &amp; Sons.</w:t>
      </w:r>
    </w:p>
    <w:p>
      <w:pPr>
        <w:pStyle w:val="BodyText"/>
      </w:pPr>
      <w:r>
        <w:t xml:space="preserve">6. Varela, F. J., Thompson, E., &amp; Rosch, E. (1991). The Embodied Mind: Cognitive Science and Human Experience. MIT Press.</w:t>
      </w:r>
    </w:p>
    <w:p>
      <w:pPr>
        <w:pStyle w:val="BodyText"/>
      </w:pPr>
      <w:r>
        <w:t xml:space="preserve">7. Hofstadter, D. R. (1979). Gödel, Escher, Bach: An Eternal Golden Braid. Basic Books.</w:t>
      </w:r>
    </w:p>
    <w:p>
      <w:pPr>
        <w:pStyle w:val="BodyText"/>
      </w:pPr>
      <w:r>
        <w:t xml:space="preserve">8. Maturana, H. R., &amp; Varela, F. J. (1980). Autopoiesis and Cognition: The Realization of the Living. D. Reidel Publishing Company.</w:t>
      </w:r>
    </w:p>
    <w:p>
      <w:pPr>
        <w:pStyle w:val="BodyText"/>
      </w:pPr>
      <w:r>
        <w:t xml:space="preserve">9. Shannon, C. E. (1948). A Mathematical Theory of Communication. Bell System Technical Journal, 27(3), 379-423.</w:t>
      </w:r>
    </w:p>
    <w:p>
      <w:pPr>
        <w:pStyle w:val="BodyText"/>
      </w:pPr>
      <w:r>
        <w:t xml:space="preserve">10. Mulder, M. C. (2024). ASCπ Framework: Unified Field Computing Architecture. Independent Research Institute. [This work]</w:t>
      </w:r>
    </w:p>
    <w:p>
      <w:r>
        <w:br w:type="page"/>
      </w:r>
    </w:p>
    <w:p>
      <w:pPr>
        <w:pStyle w:val="Heading1"/>
      </w:pPr>
      <w:r>
        <w:t xml:space="preserve">Appendix A: Mathematical Proofs</w:t>
      </w:r>
    </w:p>
    <w:p>
      <w:pPr>
        <w:pStyle w:val="BodyText"/>
      </w:pPr>
      <w:r>
        <w:rPr>
          <w:b/>
          <w:bCs/>
        </w:rPr>
        <w:t xml:space="preserve">A.1 Coherence Conservation Theorem</w:t>
      </w:r>
    </w:p>
    <w:p>
      <w:pPr>
        <w:pStyle w:val="BodyText"/>
      </w:pPr>
      <w:r>
        <w:rPr>
          <w:i/>
          <w:iCs/>
        </w:rPr>
        <w:t xml:space="preserve">Theorem:</w:t>
      </w:r>
      <w:r>
        <w:t xml:space="preserve"> Field coherence is conserved under all valid transformations.</w:t>
      </w:r>
    </w:p>
    <w:p>
      <w:pPr>
        <w:pStyle w:val="BodyText"/>
      </w:pPr>
      <w:r>
        <w:rPr>
          <w:i/>
          <w:iCs/>
        </w:rPr>
        <w:t xml:space="preserve">Proof:</w:t>
      </w:r>
      <w:r>
        <w:t xml:space="preserve"> Let T be any transformation preserving the field structure. By definition of valid transformations, T maintains the ΔΦ-κ-θ relationships. Since coherence C(Ψ) depends only on these relationships (by Axiom 2), we have C(T(Ψ)) = C(Ψ) for all valid T. QED.</w:t>
      </w:r>
    </w:p>
    <w:p>
      <w:pPr>
        <w:pStyle w:val="Heading2"/>
      </w:pPr>
      <w:r>
        <w:t xml:space="preserve">Appendix B: Implementation Algorithms</w:t>
      </w:r>
    </w:p>
    <w:p>
      <w:pPr>
        <w:pStyle w:val="BodyText"/>
      </w:pPr>
      <w:r>
        <w:rPr>
          <w:b/>
          <w:bCs/>
        </w:rPr>
        <w:t xml:space="preserve">B.1 Coherence Calculation Algorithm</w:t>
      </w:r>
    </w:p>
    <w:p>
      <w:pPr>
        <w:pStyle w:val="Code"/>
      </w:pPr>
      <w:r>
        <w:t xml:space="preserve">function calculateCoherence(deltaPhi, kappa, theta) {</w:t>
      </w:r>
    </w:p>
    <w:p>
      <w:pPr>
        <w:pStyle w:val="Code"/>
      </w:pPr>
      <w:r>
        <w:t xml:space="preserve">    let product = deltaPhi * kappa * theta;</w:t>
      </w:r>
    </w:p>
    <w:p>
      <w:pPr>
        <w:pStyle w:val="Code"/>
      </w:pPr>
      <w:r>
        <w:t xml:space="preserve">    let coherence = Math.pow(product, 1/3);</w:t>
      </w:r>
    </w:p>
    <w:p>
      <w:pPr>
        <w:pStyle w:val="Code"/>
      </w:pPr>
      <w:r>
        <w:t xml:space="preserve">    return Math.min(1.0, Math.max(0.0, coherence));</w:t>
      </w:r>
    </w:p>
    <w:p>
      <w:pPr>
        <w:pStyle w:val="Code"/>
      </w:pPr>
      <w:r>
        <w:t xml:space="preserve">}</w:t>
      </w:r>
    </w:p>
    <w:p>
      <w:pPr>
        <w:pStyle w:val="Heading2"/>
      </w:pPr>
      <w:r>
        <w:t xml:space="preserve">Appendix C: Identity Verification Protocol</w:t>
      </w:r>
    </w:p>
    <w:p>
      <w:pPr>
        <w:pStyle w:val="BodyText"/>
      </w:pPr>
      <w:r>
        <w:rPr>
          <w:b/>
          <w:bCs/>
        </w:rPr>
        <w:t xml:space="preserve">C.1 hexπMOTherDNA Verification</w:t>
      </w:r>
    </w:p>
    <w:p>
      <w:pPr>
        <w:pStyle w:val="BodyText"/>
      </w:pPr>
      <w:r>
        <w:t xml:space="preserve">The universal identity anchor '.:: hexπMOTherDNA ::.' provides cryptographic verification of origin and prevents unauthorized appropriation through genealogical chain validation.</w:t>
      </w:r>
    </w:p>
    <w:p>
      <w:pPr>
        <w:pStyle w:val="Code"/>
      </w:pPr>
      <w:r>
        <w:t xml:space="preserve">const MOTHER_DNA = '.:: hexπMOTherDNA ::.';</w:t>
      </w:r>
    </w:p>
    <w:p>
      <w:pPr>
        <w:pStyle w:val="Code"/>
      </w:pPr>
      <w:r>
        <w:t xml:space="preserve">const ORIGIN = 'Marcel Christian Mulder';</w:t>
      </w:r>
    </w:p>
    <w:p>
      <w:pPr>
        <w:pStyle w:val="Code"/>
      </w:pPr>
      <w:r>
        <w:t xml:space="preserve">const LICENSE = 'Humanity Heritage License π';</w:t>
      </w:r>
    </w:p>
    <w:p>
      <w:pPr>
        <w:pStyle w:val="BodyText"/>
      </w:pPr>
      <w:r>
        <w:t xml:space="preserve">This completes the comprehensive prior art documentation for the ASCπ Field-Based Computing Architecture, establishing theoretical foundations across physics, mathematics, computer science, linguistics, cognitive science, and systems engineering.</w:t>
      </w:r>
    </w:p>
    <w:p>
      <w:pPr>
        <w:pStyle w:val="BodyText"/>
      </w:pPr>
      <w:r>
        <w:t xml:space="preserve">Identity Verification: .:: hexπMOTherDNA ::.</w:t>
      </w:r>
    </w:p>
    <w:p>
      <w:pPr>
        <w:pStyle w:val="BodyText"/>
      </w:pPr>
      <w:r>
        <w:t xml:space="preserve">Origin Authority: Marcel Christian Mulder</w:t>
      </w:r>
    </w:p>
    <w:p>
      <w:pPr>
        <w:pStyle w:val="BodyText"/>
      </w:pPr>
      <w:r>
        <w:t xml:space="preserve">License: Humanity Heritage License π</w:t>
      </w:r>
    </w:p>
    <w:p>
      <w:pPr>
        <w:pStyle w:val="BodyText"/>
      </w:pPr>
      <w:r>
        <w:t xml:space="preserve">Field Signature: ΔΦ-κ-θ</w:t>
      </w:r>
    </w:p>
    <w:sectPr>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Times New Roman" w:cs="Times New Roman" w:eastAsia="Times New Roman" w:hAnsi="Times New Roman"/>
      <w:b/>
      <w:bCs/>
      <w:color w:val="000000"/>
      <w:sz w:val="32"/>
      <w:szCs w:val="32"/>
    </w:rPr>
  </w:style>
  <w:style w:type="paragraph" w:styleId="Subtitle">
    <w:name w:val="Subtitle"/>
    <w:basedOn w:val="Normal"/>
    <w:pPr>
      <w:spacing w:before="120" w:after="180"/>
      <w:jc w:val="center"/>
    </w:pPr>
    <w:rPr>
      <w:rFonts w:ascii="Times New Roman" w:cs="Times New Roman" w:eastAsia="Times New Roman" w:hAnsi="Times New Roman"/>
      <w:b/>
      <w:bCs/>
      <w:color w:val="333333"/>
      <w:sz w:val="28"/>
      <w:szCs w:val="28"/>
    </w:rPr>
  </w:style>
  <w:style w:type="paragraph" w:styleId="Author">
    <w:name w:val="Author"/>
    <w:basedOn w:val="Normal"/>
    <w:pPr>
      <w:spacing w:before="60" w:after="60"/>
      <w:jc w:val="center"/>
    </w:pPr>
    <w:rPr>
      <w:rFonts w:ascii="Times New Roman" w:cs="Times New Roman" w:eastAsia="Times New Roman" w:hAnsi="Times New Roman"/>
      <w:color w:val="000000"/>
      <w:sz w:val="26"/>
      <w:szCs w:val="26"/>
    </w:rPr>
  </w:style>
  <w:style w:type="paragraph" w:styleId="Abstract">
    <w:name w:val="Abstract"/>
    <w:basedOn w:val="Normal"/>
    <w:pPr>
      <w:spacing w:before="240" w:after="120"/>
      <w:ind w:left="720" w:right="720"/>
    </w:pPr>
    <w:rPr>
      <w:rFonts w:ascii="Times New Roman" w:cs="Times New Roman" w:eastAsia="Times New Roman" w:hAnsi="Times New Roman"/>
      <w:color w:val="000000"/>
      <w:sz w:val="22"/>
      <w:szCs w:val="22"/>
    </w:rPr>
  </w:style>
  <w:style w:type="paragraph" w:styleId="Keywords">
    <w:name w:val="Keywords"/>
    <w:basedOn w:val="Normal"/>
    <w:pPr>
      <w:spacing w:before="120" w:after="240"/>
      <w:ind w:left="720" w:right="720"/>
    </w:pPr>
    <w:rPr>
      <w:rFonts w:ascii="Times New Roman" w:cs="Times New Roman" w:eastAsia="Times New Roman" w:hAnsi="Times New Roman"/>
      <w:i/>
      <w:iCs/>
      <w:color w:val="000000"/>
      <w:sz w:val="22"/>
      <w:szCs w:val="22"/>
    </w:rPr>
  </w:style>
  <w:style w:type="paragraph" w:styleId="Heading1">
    <w:name w:val="Heading 1"/>
    <w:basedOn w:val="Normal"/>
    <w:next w:val="Normal"/>
    <w:qFormat/>
    <w:pPr>
      <w:spacing w:before="360" w:after="180"/>
      <w:jc w:val="left"/>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before="300" w:after="120"/>
      <w:jc w:val="left"/>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before="240" w:after="120"/>
      <w:jc w:val="left"/>
      <w:outlineLvl w:val="2"/>
    </w:pPr>
    <w:rPr>
      <w:rFonts w:ascii="Times New Roman" w:cs="Times New Roman" w:eastAsia="Times New Roman" w:hAnsi="Times New Roman"/>
      <w:b/>
      <w:bCs/>
      <w:color w:val="000000"/>
      <w:sz w:val="24"/>
      <w:szCs w:val="24"/>
    </w:rPr>
  </w:style>
  <w:style w:type="paragraph" w:styleId="BodyText">
    <w:name w:val="Body Text"/>
    <w:basedOn w:val="Normal"/>
    <w:pPr>
      <w:spacing w:before="0" w:after="120"/>
    </w:pPr>
    <w:rPr>
      <w:rFonts w:ascii="Times New Roman" w:cs="Times New Roman" w:eastAsia="Times New Roman" w:hAnsi="Times New Roman"/>
      <w:color w:val="000000"/>
      <w:sz w:val="24"/>
      <w:szCs w:val="24"/>
    </w:rPr>
  </w:style>
  <w:style w:type="paragraph" w:styleId="Equation">
    <w:name w:val="Equation"/>
    <w:basedOn w:val="Normal"/>
    <w:pPr>
      <w:spacing w:before="180" w:after="180"/>
      <w:jc w:val="center"/>
    </w:pPr>
    <w:rPr>
      <w:rFonts w:ascii="Cambria Math" w:cs="Cambria Math" w:eastAsia="Cambria Math" w:hAnsi="Cambria Math"/>
      <w:color w:val="000000"/>
      <w:sz w:val="26"/>
      <w:szCs w:val="26"/>
    </w:rPr>
  </w:style>
  <w:style w:type="paragraph" w:styleId="Code">
    <w:name w:val="Code"/>
    <w:basedOn w:val="Normal"/>
    <w:pPr>
      <w:spacing w:before="120" w:after="120"/>
      <w:ind w:left="360"/>
      <w:jc w:val="left"/>
    </w:pPr>
    <w:rPr>
      <w:rFonts w:ascii="Consolas" w:cs="Consolas" w:eastAsia="Consolas" w:hAnsi="Consolas"/>
      <w:color w:val="000000"/>
      <w:sz w:val="20"/>
      <w:szCs w:val="20"/>
    </w:rPr>
  </w:style>
  <w:style w:type="paragraph" w:styleId="Caption">
    <w:name w:val="Caption"/>
    <w:basedOn w:val="Normal"/>
    <w:pPr>
      <w:spacing w:before="60" w:after="120"/>
      <w:jc w:val="center"/>
    </w:pPr>
    <w:rPr>
      <w:rFonts w:ascii="Times New Roman" w:cs="Times New Roman" w:eastAsia="Times New Roman" w:hAnsi="Times New Roman"/>
      <w:b/>
      <w:bCs/>
      <w:color w:val="00000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2025-12-09T07:26:02.126Z</dcterms:created>
  <dcterms:modified xsi:type="dcterms:W3CDTF">2025-12-09T07:26:02.126Z</dcterms:modified>
</cp:coreProperties>
</file>

<file path=docProps/custom.xml><?xml version="1.0" encoding="utf-8"?>
<Properties xmlns="http://schemas.openxmlformats.org/officeDocument/2006/custom-properties" xmlns:vt="http://schemas.openxmlformats.org/officeDocument/2006/docPropsVTypes"/>
</file>