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 Log — OOSC Bayesian Cohort Model Reproduction</w:t>
      </w:r>
    </w:p>
    <w:p>
      <w:r>
        <w:rPr>
          <w:color w:val="555555"/>
        </w:rPr>
        <w:t>Paper 1 (SDG 4.1.4). Brief record of every data and method decision, especially where the paper is silent or we deviate from it. Newest entries at the bottom.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3402"/>
            <w:shd w:val="clear" w:color="auto" w:fill="C6EFCE"/>
          </w:tcPr>
          <w:p>
            <w:r/>
            <w:r>
              <w:rPr>
                <w:b/>
              </w:rPr>
              <w:t>Meets: 22</w:t>
            </w:r>
          </w:p>
        </w:tc>
        <w:tc>
          <w:tcPr>
            <w:tcW w:type="dxa" w:w="3402"/>
            <w:shd w:val="clear" w:color="auto" w:fill="FFEB9C"/>
          </w:tcPr>
          <w:p>
            <w:r/>
            <w:r>
              <w:rPr>
                <w:b/>
              </w:rPr>
              <w:t>Minor deviation: 10</w:t>
            </w:r>
          </w:p>
        </w:tc>
        <w:tc>
          <w:tcPr>
            <w:tcW w:type="dxa" w:w="3402"/>
            <w:shd w:val="clear" w:color="auto" w:fill="FFC7CE"/>
          </w:tcPr>
          <w:p>
            <w:r/>
            <w:r>
              <w:rPr>
                <w:b/>
              </w:rPr>
              <w:t>Material deviation: 1</w:t>
            </w:r>
          </w:p>
        </w:tc>
      </w:tr>
    </w:tbl>
    <w:p>
      <w:r>
        <w:rPr>
          <w:sz w:val="18"/>
        </w:rPr>
        <w:t>Meets = faithful to the paper, or a standard choice where the paper is silent. Minor deviation = small, bounded effect on estimates. Material deviation = a part of the paper's data or model is missing.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454"/>
            <w:shd w:val="clear" w:color="auto" w:fill="D9E2F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762"/>
            <w:shd w:val="clear" w:color="auto" w:fill="D9E2F3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</w:rPr>
              <w:t>Reason</w:t>
            </w:r>
          </w:p>
        </w:tc>
        <w:tc>
          <w:tcPr>
            <w:tcW w:type="dxa" w:w="3912"/>
            <w:shd w:val="clear" w:color="auto" w:fill="D9E2F3"/>
          </w:tcPr>
          <w:p>
            <w:r/>
            <w:r>
              <w:rPr>
                <w:b/>
              </w:rPr>
              <w:t>Impact on reproduction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134"/>
          </w:tcPr>
          <w:p>
            <w:r>
              <w:t>2026-09-11</w:t>
            </w:r>
          </w:p>
        </w:tc>
        <w:tc>
          <w:tcPr>
            <w:tcW w:type="dxa" w:w="1134"/>
          </w:tcPr>
          <w:p>
            <w:r>
              <w:t>Toolchain</w:t>
            </w:r>
          </w:p>
        </w:tc>
        <w:tc>
          <w:tcPr>
            <w:tcW w:type="dxa" w:w="4762"/>
          </w:tcPr>
          <w:p>
            <w:r>
              <w:t>Run the model in NumPyro/JAX; keep the Stan file as equation-level reference.</w:t>
            </w:r>
          </w:p>
        </w:tc>
        <w:tc>
          <w:tcPr>
            <w:tcW w:type="dxa" w:w="3402"/>
          </w:tcPr>
          <w:p>
            <w:r>
              <w:t>CmdStan needs a C++ compiler (RTools) that could not be installed.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same model and priors; only the sampler implementation differs (MCMC noise).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134"/>
          </w:tcPr>
          <w:p>
            <w:r>
              <w:t>2026-09-11</w:t>
            </w:r>
          </w:p>
        </w:tc>
        <w:tc>
          <w:tcPr>
            <w:tcW w:type="dxa" w:w="1134"/>
          </w:tcPr>
          <w:p>
            <w:r>
              <w:t>Population</w:t>
            </w:r>
          </w:p>
        </w:tc>
        <w:tc>
          <w:tcPr>
            <w:tcW w:type="dxa" w:w="4762"/>
          </w:tcPr>
          <w:p>
            <w:r>
              <w:t>Use WPP 2024 revision instead of the paper's WPP 2019.</w:t>
            </w:r>
          </w:p>
        </w:tc>
        <w:tc>
          <w:tcPr>
            <w:tcW w:type="dxa" w:w="3402"/>
          </w:tcPr>
          <w:p>
            <w:r>
              <w:t>2019 single-age bulk file no longer readily available.</w:t>
            </w:r>
          </w:p>
        </w:tc>
        <w:tc>
          <w:tcPr>
            <w:tcW w:type="dxa" w:w="3912"/>
            <w:shd w:val="clear" w:color="auto" w:fill="FFEB9C"/>
          </w:tcPr>
          <w:p>
            <w:r/>
            <w:r>
              <w:rPr>
                <w:b/>
              </w:rPr>
              <w:t xml:space="preserve">Minor deviation. </w:t>
            </w:r>
            <w:r>
              <w:t>Minor-moderate: revised populations shift admin rates (83.5% of data), mainly where WPP revisions are large.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134"/>
          </w:tcPr>
          <w:p>
            <w:r>
              <w:t>2026-09-11</w:t>
            </w:r>
          </w:p>
        </w:tc>
        <w:tc>
          <w:tcPr>
            <w:tcW w:type="dxa" w:w="1134"/>
          </w:tcPr>
          <w:p>
            <w:r>
              <w:t>Model</w:t>
            </w:r>
          </w:p>
        </w:tc>
        <w:tc>
          <w:tcPr>
            <w:tcW w:type="dxa" w:w="4762"/>
          </w:tcPr>
          <w:p>
            <w:r>
              <w:t>Anchor mu*_c,0 at the first knot of the entry-year grid, not calendar year 2000.</w:t>
            </w:r>
          </w:p>
        </w:tc>
        <w:tc>
          <w:tcPr>
            <w:tcW w:type="dxa" w:w="3402"/>
          </w:tcPr>
          <w:p>
            <w:r>
              <w:t>Grid is extended backward to cover the oldest observed cohorts.</w:t>
            </w:r>
          </w:p>
        </w:tc>
        <w:tc>
          <w:tcPr>
            <w:tcW w:type="dxa" w:w="3912"/>
            <w:shd w:val="clear" w:color="auto" w:fill="FFEB9C"/>
          </w:tcPr>
          <w:p>
            <w:r/>
            <w:r>
              <w:rPr>
                <w:b/>
              </w:rPr>
              <w:t xml:space="preserve">Minor deviation. </w:t>
            </w:r>
            <w:r>
              <w:t>Minor: only moves where a weak N(0, 2^2) prior sits; data dominate.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1134"/>
          </w:tcPr>
          <w:p>
            <w:r>
              <w:t>2026-09-28</w:t>
            </w:r>
          </w:p>
        </w:tc>
        <w:tc>
          <w:tcPr>
            <w:tcW w:type="dxa" w:w="1134"/>
          </w:tcPr>
          <w:p>
            <w:r>
              <w:t>IPUMS</w:t>
            </w:r>
          </w:p>
        </w:tc>
        <w:tc>
          <w:tcPr>
            <w:tcW w:type="dxa" w:w="4762"/>
          </w:tcPr>
          <w:p>
            <w:r>
              <w:t>Use ipumsi_00003.csv.gz only.</w:t>
            </w:r>
          </w:p>
        </w:tc>
        <w:tc>
          <w:tcPr>
            <w:tcW w:type="dxa" w:w="3402"/>
          </w:tcPr>
          <w:p>
            <w:r>
              <w:t>Other downloads are fixed-width .dat without DDI codebooks (00001/00002 identical).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same content, readable format.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1134"/>
          </w:tcPr>
          <w:p>
            <w:r>
              <w:t>2026-09-28</w:t>
            </w:r>
          </w:p>
        </w:tc>
        <w:tc>
          <w:tcPr>
            <w:tcW w:type="dxa" w:w="1134"/>
          </w:tcPr>
          <w:p>
            <w:r>
              <w:t>IPUMS</w:t>
            </w:r>
          </w:p>
        </w:tc>
        <w:tc>
          <w:tcPr>
            <w:tcW w:type="dxa" w:w="4762"/>
          </w:tcPr>
          <w:p>
            <w:r>
              <w:t>Out of school = SCHOOL 2/3/4; in school = 1; codes 0 and 9 dropped.</w:t>
            </w:r>
          </w:p>
        </w:tc>
        <w:tc>
          <w:tcPr>
            <w:tcW w:type="dxa" w:w="3402"/>
          </w:tcPr>
          <w:p>
            <w:r>
              <w:t>Paper does not define codes; follows IPUMS coding.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standard definition matching the paper's 'attended school this year'.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1134"/>
          </w:tcPr>
          <w:p>
            <w:r>
              <w:t>2026-09-28</w:t>
            </w:r>
          </w:p>
        </w:tc>
        <w:tc>
          <w:tcPr>
            <w:tcW w:type="dxa" w:w="1134"/>
          </w:tcPr>
          <w:p>
            <w:r>
              <w:t>IPUMS</w:t>
            </w:r>
          </w:p>
        </w:tc>
        <w:tc>
          <w:tcPr>
            <w:tcW w:type="dxa" w:w="4762"/>
          </w:tcPr>
          <w:p>
            <w:r>
              <w:t>Keep samples from 1999-2019 with &gt;50% valid SCHOOL at ages 5-19 (145 of 366).</w:t>
            </w:r>
          </w:p>
        </w:tc>
        <w:tc>
          <w:tcPr>
            <w:tcW w:type="dxa" w:w="3402"/>
          </w:tcPr>
          <w:p>
            <w:r>
              <w:t>Paper data span; samples without attendance cannot give rates.</w:t>
            </w:r>
          </w:p>
        </w:tc>
        <w:tc>
          <w:tcPr>
            <w:tcW w:type="dxa" w:w="3912"/>
            <w:shd w:val="clear" w:color="auto" w:fill="FFEB9C"/>
          </w:tcPr>
          <w:p>
            <w:r/>
            <w:r>
              <w:rPr>
                <w:b/>
              </w:rPr>
              <w:t xml:space="preserve">Minor deviation. </w:t>
            </w:r>
            <w:r>
              <w:t>Low: our census sample set may differ slightly from the paper's.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1134"/>
          </w:tcPr>
          <w:p>
            <w:r>
              <w:t>2026-09-28</w:t>
            </w:r>
          </w:p>
        </w:tc>
        <w:tc>
          <w:tcPr>
            <w:tcW w:type="dxa" w:w="1134"/>
          </w:tcPr>
          <w:p>
            <w:r>
              <w:t>IPUMS</w:t>
            </w:r>
          </w:p>
        </w:tc>
        <w:tc>
          <w:tcPr>
            <w:tcW w:type="dxa" w:w="4762"/>
          </w:tcPr>
          <w:p>
            <w:r>
              <w:t>IPUMS v7.3 restriction not applied.</w:t>
            </w:r>
          </w:p>
        </w:tc>
        <w:tc>
          <w:tcPr>
            <w:tcW w:type="dxa" w:w="3402"/>
          </w:tcPr>
          <w:p>
            <w:r>
              <w:t>Release version cannot be identified from the microdata.</w:t>
            </w:r>
          </w:p>
        </w:tc>
        <w:tc>
          <w:tcPr>
            <w:tcW w:type="dxa" w:w="3912"/>
            <w:shd w:val="clear" w:color="auto" w:fill="FFEB9C"/>
          </w:tcPr>
          <w:p>
            <w:r/>
            <w:r>
              <w:rPr>
                <w:b/>
              </w:rPr>
              <w:t xml:space="preserve">Minor deviation. </w:t>
            </w:r>
            <w:r>
              <w:t>Low: may include census samples released after v7.3 (Census = 3.9% of data).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1134"/>
          </w:tcPr>
          <w:p>
            <w:r>
              <w:t>2026-09-28</w:t>
            </w:r>
          </w:p>
        </w:tc>
        <w:tc>
          <w:tcPr>
            <w:tcW w:type="dxa" w:w="1134"/>
          </w:tcPr>
          <w:p>
            <w:r>
              <w:t>IPUMS</w:t>
            </w:r>
          </w:p>
        </w:tc>
        <w:tc>
          <w:tcPr>
            <w:tcW w:type="dxa" w:w="4762"/>
          </w:tcPr>
          <w:p>
            <w:r>
              <w:t>Cap each sample at 1M records by random whole-household subsample (fixed seed).</w:t>
            </w:r>
          </w:p>
        </w:tc>
        <w:tc>
          <w:tcPr>
            <w:tcW w:type="dxa" w:w="3402"/>
          </w:tcPr>
          <w:p>
            <w:r>
              <w:t>Paper Appendix A.1 1M-record cap.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reproduces the paper's cap; subsample differs only randomly.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1134"/>
          </w:tcPr>
          <w:p>
            <w:r>
              <w:t>2026-09-28</w:t>
            </w:r>
          </w:p>
        </w:tc>
        <w:tc>
          <w:tcPr>
            <w:tcW w:type="dxa" w:w="1134"/>
          </w:tcPr>
          <w:p>
            <w:r>
              <w:t>IPUMS</w:t>
            </w:r>
          </w:p>
        </w:tc>
        <w:tc>
          <w:tcPr>
            <w:tcW w:type="dxa" w:w="4762"/>
          </w:tcPr>
          <w:p>
            <w:r>
              <w:t>Jackknife cluster = household (SERIAL).</w:t>
            </w:r>
          </w:p>
        </w:tc>
        <w:tc>
          <w:tcPr>
            <w:tcW w:type="dxa" w:w="3402"/>
          </w:tcPr>
          <w:p>
            <w:r>
              <w:t>Census samples have no PSU; household is the sampling unit.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Low: household clusters may slightly understate SEs; eta_w absorbs extra error.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1134"/>
          </w:tcPr>
          <w:p>
            <w:r>
              <w:t>2026-09-28</w:t>
            </w:r>
          </w:p>
        </w:tc>
        <w:tc>
          <w:tcPr>
            <w:tcW w:type="dxa" w:w="1134"/>
          </w:tcPr>
          <w:p>
            <w:r>
              <w:t>All surveys</w:t>
            </w:r>
          </w:p>
        </w:tc>
        <w:tc>
          <w:tcPr>
            <w:tcW w:type="dxa" w:w="4762"/>
          </w:tcPr>
          <w:p>
            <w:r>
              <w:t>Output calendar ages 5-19 by sex (M/F/MF); convert to relative age at model-input assembly.</w:t>
            </w:r>
          </w:p>
        </w:tc>
        <w:tc>
          <w:tcPr>
            <w:tcW w:type="dxa" w:w="3402"/>
          </w:tcPr>
          <w:p>
            <w:r>
              <w:t>Same convention as admin data.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same age convention as the model.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All surveys</w:t>
            </w:r>
          </w:p>
        </w:tc>
        <w:tc>
          <w:tcPr>
            <w:tcW w:type="dxa" w:w="4762"/>
          </w:tcPr>
          <w:p>
            <w:r>
              <w:t>Drop cells with rate exactly 0 or 1.</w:t>
            </w:r>
          </w:p>
        </w:tc>
        <w:tc>
          <w:tcPr>
            <w:tcW w:type="dxa" w:w="3402"/>
          </w:tcPr>
          <w:p>
            <w:r>
              <w:t>probit(0/1) is infinite in Eq. 2; cells are mostly coding artefacts.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Low: about 2-6% of survey cells, mostly high-income countries with admin data.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DHS</w:t>
            </w:r>
          </w:p>
        </w:tc>
        <w:tc>
          <w:tcPr>
            <w:tcW w:type="dxa" w:w="4762"/>
          </w:tcPr>
          <w:p>
            <w:r>
              <w:t>Download only household-member (PR) files of standard DHS surveys dated 2000-2018 (182 files).</w:t>
            </w:r>
          </w:p>
        </w:tc>
        <w:tc>
          <w:tcPr>
            <w:tcW w:type="dxa" w:w="3402"/>
          </w:tcPr>
          <w:p>
            <w:r>
              <w:t>Paper uses DHS 2000-2018; PR holds attendance, age, sex, weight, cluster.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matches the paper's DHS vintage.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DHS</w:t>
            </w:r>
          </w:p>
        </w:tc>
        <w:tc>
          <w:tcPr>
            <w:tcW w:type="dxa" w:w="4762"/>
          </w:tcPr>
          <w:p>
            <w:r>
              <w:t>4 PR files without a year in the DHS API not downloaded; AIS/MIS not included.</w:t>
            </w:r>
          </w:p>
        </w:tc>
        <w:tc>
          <w:tcPr>
            <w:tcW w:type="dxa" w:w="3402"/>
          </w:tcPr>
          <w:p>
            <w:r>
              <w:t>Year unknown; paper cites standard DHS only.</w:t>
            </w:r>
          </w:p>
        </w:tc>
        <w:tc>
          <w:tcPr>
            <w:tcW w:type="dxa" w:w="3912"/>
            <w:shd w:val="clear" w:color="auto" w:fill="FFEB9C"/>
          </w:tcPr>
          <w:p>
            <w:r/>
            <w:r>
              <w:rPr>
                <w:b/>
              </w:rPr>
              <w:t xml:space="preserve">Minor deviation. </w:t>
            </w:r>
            <w:r>
              <w:t>Low: a few surveys the paper may have used are missing.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DHS</w:t>
            </w:r>
          </w:p>
        </w:tc>
        <w:tc>
          <w:tcPr>
            <w:tcW w:type="dxa" w:w="4762"/>
          </w:tcPr>
          <w:p>
            <w:r>
              <w:t>Out of school = hv121 0; in school = 1/2; de facto members only; weight hv005/1e6; PSU hv021 (else hv001); year from DHS API; wave = DHS phase.</w:t>
            </w:r>
          </w:p>
        </w:tc>
        <w:tc>
          <w:tcPr>
            <w:tcW w:type="dxa" w:w="3402"/>
          </w:tcPr>
          <w:p>
            <w:r>
              <w:t>DHS conventions for education tables; paper Fig. 8 waves.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Low: paper silent; standard DHS definitions.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DHS</w:t>
            </w:r>
          </w:p>
        </w:tc>
        <w:tc>
          <w:tcPr>
            <w:tcW w:type="dxa" w:w="4762"/>
          </w:tcPr>
          <w:p>
            <w:r>
              <w:t>Skip BDPR41, GAPR41, VNPR41.</w:t>
            </w:r>
          </w:p>
        </w:tc>
        <w:tc>
          <w:tcPr>
            <w:tcW w:type="dxa" w:w="3402"/>
          </w:tcPr>
          <w:p>
            <w:r>
              <w:t>No attendance variable (hv121).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the paper could not use these either.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MICS</w:t>
            </w:r>
          </w:p>
        </w:tc>
        <w:tc>
          <w:tcPr>
            <w:tcW w:type="dxa" w:w="4762"/>
          </w:tcPr>
          <w:p>
            <w:r>
              <w:t>National surveys only; subnational MICS excluded.</w:t>
            </w:r>
          </w:p>
        </w:tc>
        <w:tc>
          <w:tcPr>
            <w:tcW w:type="dxa" w:w="3402"/>
          </w:tcPr>
          <w:p>
            <w:r>
              <w:t>Not national rates.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paper uses national rates.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MICS</w:t>
            </w:r>
          </w:p>
        </w:tc>
        <w:tc>
          <w:tcPr>
            <w:tcW w:type="dxa" w:w="4762"/>
          </w:tcPr>
          <w:p>
            <w:r>
              <w:t>In school = current-year attendance yes; out = attendance no or never attended; weight hhweight; cluster HH1; wave = MICS round.</w:t>
            </w:r>
          </w:p>
        </w:tc>
        <w:tc>
          <w:tcPr>
            <w:tcW w:type="dxa" w:w="3402"/>
          </w:tcPr>
          <w:p>
            <w:r>
              <w:t>Never-attended children skip the attendance question.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Low: paper silent; standard MICS definitions.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MICS</w:t>
            </w:r>
          </w:p>
        </w:tc>
        <w:tc>
          <w:tcPr>
            <w:tcW w:type="dxa" w:w="4762"/>
          </w:tcPr>
          <w:p>
            <w:r>
              <w:t>Skip 8 surveys: CUB 2006/2010/2014, ARG 2011, BDI 2000, LSO 2000, BWA 2000, GNB 2010.</w:t>
            </w:r>
          </w:p>
        </w:tc>
        <w:tc>
          <w:tcPr>
            <w:tcW w:type="dxa" w:w="3402"/>
          </w:tcPr>
          <w:p>
            <w:r>
              <w:t>No attendance question, no weight, unlabelled, or merged file.</w:t>
            </w:r>
          </w:p>
        </w:tc>
        <w:tc>
          <w:tcPr>
            <w:tcW w:type="dxa" w:w="3912"/>
            <w:shd w:val="clear" w:color="auto" w:fill="FFEB9C"/>
          </w:tcPr>
          <w:p>
            <w:r/>
            <w:r>
              <w:rPr>
                <w:b/>
              </w:rPr>
              <w:t xml:space="preserve">Minor deviation. </w:t>
            </w:r>
            <w:r>
              <w:t>Low: 8 of about 200 MICS surveys missing.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MICS</w:t>
            </w:r>
          </w:p>
        </w:tc>
        <w:tc>
          <w:tcPr>
            <w:tcW w:type="dxa" w:w="4762"/>
          </w:tcPr>
          <w:p>
            <w:r>
              <w:t>Keep small-sample surveys (e.g. ARG 2019) as processed; not investigated further.</w:t>
            </w:r>
          </w:p>
        </w:tc>
        <w:tc>
          <w:tcPr>
            <w:tcW w:type="dxa" w:w="3402"/>
          </w:tcPr>
          <w:p>
            <w:r>
              <w:t>User decision.</w:t>
            </w:r>
          </w:p>
        </w:tc>
        <w:tc>
          <w:tcPr>
            <w:tcW w:type="dxa" w:w="3912"/>
            <w:shd w:val="clear" w:color="auto" w:fill="FFEB9C"/>
          </w:tcPr>
          <w:p>
            <w:r/>
            <w:r>
              <w:rPr>
                <w:b/>
              </w:rPr>
              <w:t xml:space="preserve">Minor deviation. </w:t>
            </w:r>
            <w:r>
              <w:t>Low-moderate: a few surveys (e.g. ARG 2019) may carry wrong values; large SEs limit their weight.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WIDE</w:t>
            </w:r>
          </w:p>
        </w:tc>
        <w:tc>
          <w:tcPr>
            <w:tcW w:type="dxa" w:w="4762"/>
          </w:tcPr>
          <w:p>
            <w:r>
              <w:t>Papua New Guinea (HIES 2009) and Colombia (ECV 2019) excluded.</w:t>
            </w:r>
          </w:p>
        </w:tc>
        <w:tc>
          <w:tcPr>
            <w:tcW w:type="dxa" w:w="3402"/>
          </w:tcPr>
          <w:p>
            <w:r>
              <w:t>Data not obtainable.</w:t>
            </w:r>
          </w:p>
        </w:tc>
        <w:tc>
          <w:tcPr>
            <w:tcW w:type="dxa" w:w="3912"/>
            <w:shd w:val="clear" w:color="auto" w:fill="FFEB9C"/>
          </w:tcPr>
          <w:p>
            <w:r/>
            <w:r>
              <w:rPr>
                <w:b/>
              </w:rPr>
              <w:t xml:space="preserve">Minor deviation. </w:t>
            </w:r>
            <w:r>
              <w:t>Low: 2 of 16 'Other' surveys (&lt;0.2% of data).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WIDE</w:t>
            </w:r>
          </w:p>
        </w:tc>
        <w:tc>
          <w:tcPr>
            <w:tcW w:type="dxa" w:w="4762"/>
          </w:tcPr>
          <w:p>
            <w:r>
              <w:t>WIDE ('Other') left out of the model for now; level-level file kept for later.</w:t>
            </w:r>
          </w:p>
        </w:tc>
        <w:tc>
          <w:tcPr>
            <w:tcW w:type="dxa" w:w="3402"/>
          </w:tcPr>
          <w:p>
            <w:r>
              <w:t>Only education-level aggregates available; single-age data not obtainable (internal constraints).</w:t>
            </w:r>
          </w:p>
        </w:tc>
        <w:tc>
          <w:tcPr>
            <w:tcW w:type="dxa" w:w="3912"/>
            <w:shd w:val="clear" w:color="auto" w:fill="FFC7CE"/>
          </w:tcPr>
          <w:p>
            <w:r/>
            <w:r>
              <w:rPr>
                <w:b/>
              </w:rPr>
              <w:t xml:space="preserve">Material deviation. </w:t>
            </w:r>
            <w:r>
              <w:t>Material for 14 countries (mostly Latin America): no 'Other' survey data, no 'Other' bias/error terms. Globally about 1.5% of observations.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Admin</w:t>
            </w:r>
          </w:p>
        </w:tc>
        <w:tc>
          <w:tcPr>
            <w:tcW w:type="dxa" w:w="4762"/>
          </w:tcPr>
          <w:p>
            <w:r>
              <w:t>2013-2022 added via new SQL step 6b (indicator metadata joined on EMC_ID only); old extract kept for 2000-2012.</w:t>
            </w:r>
          </w:p>
        </w:tc>
        <w:tc>
          <w:tcPr>
            <w:tcW w:type="dxa" w:w="3402"/>
          </w:tcPr>
          <w:p>
            <w:r>
              <w:t>Step 6 joined on (EMC_ID, EC_TD_ID); rows from 2013 carry new EC_TD_ID values, so they were dropped.</w:t>
            </w:r>
          </w:p>
        </w:tc>
        <w:tc>
          <w:tcPr>
            <w:tcW w:type="dxa" w:w="3912"/>
            <w:shd w:val="clear" w:color="auto" w:fill="FFEB9C"/>
          </w:tcPr>
          <w:p>
            <w:r/>
            <w:r>
              <w:rPr>
                <w:b/>
              </w:rPr>
              <w:t xml:space="preserve">Minor deviation. </w:t>
            </w:r>
            <w:r>
              <w:t>Low-moderate: admin now covers 2000-2022 (~150-175 countries/year from 2003); 2000-2002 still thin (24-43 countries), possibly the same join issue.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Admin</w:t>
            </w:r>
          </w:p>
        </w:tc>
        <w:tc>
          <w:tcPr>
            <w:tcW w:type="dxa" w:w="4762"/>
          </w:tcPr>
          <w:p>
            <w:r>
              <w:t>Enrolment = sum of level totals ('All grades'): pre-primary, primary, secondary general + vocational, post-secondary. ECD excluded. Replaces the old candidate file, which double-counted grade rows.</w:t>
            </w:r>
          </w:p>
        </w:tc>
        <w:tc>
          <w:tcPr>
            <w:tcW w:type="dxa" w:w="3402"/>
          </w:tcPr>
          <w:p>
            <w:r>
              <w:t>SDG 4.1.4 definition counts pre-primary, primary, secondary, higher. Tertiary is not in the extract.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Low: follows the official definition; missing tertiary slightly overstates rates at ages 18-19.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Admin</w:t>
            </w:r>
          </w:p>
        </w:tc>
        <w:tc>
          <w:tcPr>
            <w:tcW w:type="dxa" w:w="4762"/>
          </w:tcPr>
          <w:p>
            <w:r>
              <w:t>Male = MF - F.</w:t>
            </w:r>
          </w:p>
        </w:tc>
        <w:tc>
          <w:tcPr>
            <w:tcW w:type="dxa" w:w="3402"/>
          </w:tcPr>
          <w:p>
            <w:r>
              <w:t>Extract holds MF and F only.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exact identity.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Admin</w:t>
            </w:r>
          </w:p>
        </w:tc>
        <w:tc>
          <w:tcPr>
            <w:tcW w:type="dxa" w:w="4762"/>
          </w:tcPr>
          <w:p>
            <w:r>
              <w:t>Exclusion steps 1-2 applied (main level must be reported at every age; primary vs secondary only). Step 3 not applied.</w:t>
            </w:r>
          </w:p>
        </w:tc>
        <w:tc>
          <w:tcPr>
            <w:tcW w:type="dxa" w:w="3402"/>
          </w:tcPr>
          <w:p>
            <w:r>
              <w:t>Secondary general is reported as lower+upper combined; step 3 needs per-country judgment.</w:t>
            </w:r>
          </w:p>
        </w:tc>
        <w:tc>
          <w:tcPr>
            <w:tcW w:type="dxa" w:w="3912"/>
            <w:shd w:val="clear" w:color="auto" w:fill="FFEB9C"/>
          </w:tcPr>
          <w:p>
            <w:r/>
            <w:r>
              <w:rPr>
                <w:b/>
              </w:rPr>
              <w:t xml:space="preserve">Minor deviation. </w:t>
            </w:r>
            <w:r>
              <w:t>Low: slightly different exclusions than the paper, mainly at lower/upper secondary boundaries.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Admin</w:t>
            </w:r>
          </w:p>
        </w:tc>
        <w:tc>
          <w:tcPr>
            <w:tcW w:type="dxa" w:w="4762"/>
          </w:tcPr>
          <w:p>
            <w:r>
              <w:t>Age-band totals stored under one age and open-ended buckets (&lt;10, 25+) treated as missing.</w:t>
            </w:r>
          </w:p>
        </w:tc>
        <w:tc>
          <w:tcPr>
            <w:tcW w:type="dxa" w:w="3402"/>
          </w:tcPr>
          <w:p>
            <w:r>
              <w:t>Found e.g. Benin 2011: 13-15 stored under 13; would give false low rates.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removes invalid cells the paper would also not use.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Population</w:t>
            </w:r>
          </w:p>
        </w:tc>
        <w:tc>
          <w:tcPr>
            <w:tcW w:type="dxa" w:w="4762"/>
          </w:tcPr>
          <w:p>
            <w:r>
              <w:t>WPP 2024 by sex (1 July); Eurostat for SDG-Europe countries; SingStat for Singapore.</w:t>
            </w:r>
          </w:p>
        </w:tc>
        <w:tc>
          <w:tcPr>
            <w:tcW w:type="dxa" w:w="3402"/>
          </w:tcPr>
          <w:p>
            <w:r>
              <w:t>Paper's source per country; WPP needed by sex for M/F runs.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 beyond the WPP vintage (row 2).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Structure</w:t>
            </w:r>
          </w:p>
        </w:tc>
        <w:tc>
          <w:tcPr>
            <w:tcW w:type="dxa" w:w="4762"/>
          </w:tcPr>
          <w:p>
            <w:r>
              <w:t>Official entrance ages and durations from the UIS public API (2000-2022).</w:t>
            </w:r>
          </w:p>
        </w:tc>
        <w:tc>
          <w:tcPr>
            <w:tcW w:type="dxa" w:w="3402"/>
          </w:tcPr>
          <w:p>
            <w:r>
              <w:t>Needed for relative age and exclusion rules; not in the internal extract.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official UIS structure data.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Model input</w:t>
            </w:r>
          </w:p>
        </w:tc>
        <w:tc>
          <w:tcPr>
            <w:tcW w:type="dxa" w:w="4762"/>
          </w:tcPr>
          <w:p>
            <w:r>
              <w:t>Relative age a=1 at each country's minimum primary entry age; ages up to the latest end of upper secondary.</w:t>
            </w:r>
          </w:p>
        </w:tc>
        <w:tc>
          <w:tcPr>
            <w:tcW w:type="dxa" w:w="3402"/>
          </w:tcPr>
          <w:p>
            <w:r>
              <w:t>Paper Section 3.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as specified.</w:t>
            </w:r>
          </w:p>
        </w:tc>
      </w:tr>
      <w:tr>
        <w:tc>
          <w:tcPr>
            <w:tcW w:type="dxa" w:w="454"/>
          </w:tcPr>
          <w:p>
            <w:r>
              <w:t>30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Model input</w:t>
            </w:r>
          </w:p>
        </w:tc>
        <w:tc>
          <w:tcPr>
            <w:tcW w:type="dxa" w:w="4762"/>
          </w:tcPr>
          <w:p>
            <w:r>
              <w:t>Regions = the 7 UIS SDG regions of Fig. 7; series = DHS, MICS, Census; waves = DHS4-8, MICS2-6, Census.</w:t>
            </w:r>
          </w:p>
        </w:tc>
        <w:tc>
          <w:tcPr>
            <w:tcW w:type="dxa" w:w="3402"/>
          </w:tcPr>
          <w:p>
            <w:r>
              <w:t>Paper Fig. 7 and Fig. 8.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as specified.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Model input</w:t>
            </w:r>
          </w:p>
        </w:tc>
        <w:tc>
          <w:tcPr>
            <w:tcW w:type="dxa" w:w="4762"/>
          </w:tcPr>
          <w:p>
            <w:r>
              <w:t>Entry-year grid always spans 2000-2022.</w:t>
            </w:r>
          </w:p>
        </w:tc>
        <w:tc>
          <w:tcPr>
            <w:tcW w:type="dxa" w:w="3402"/>
          </w:tcPr>
          <w:p>
            <w:r>
              <w:t>Paper reports estimates for 2000-2022.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as specified.</w:t>
            </w:r>
          </w:p>
        </w:tc>
      </w:tr>
      <w:tr>
        <w:tc>
          <w:tcPr>
            <w:tcW w:type="dxa" w:w="454"/>
          </w:tcPr>
          <w:p>
            <w:r>
              <w:t>32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Fitting</w:t>
            </w:r>
          </w:p>
        </w:tc>
        <w:tc>
          <w:tcPr>
            <w:tcW w:type="dxa" w:w="4762"/>
          </w:tcPr>
          <w:p>
            <w:r>
              <w:t>4 chains x 4,000 iterations, 2,000 warm-up, thinning 8 (1,000 draws); M, F, MF fitted separately.</w:t>
            </w:r>
          </w:p>
        </w:tc>
        <w:tc>
          <w:tcPr>
            <w:tcW w:type="dxa" w:w="3402"/>
          </w:tcPr>
          <w:p>
            <w:r>
              <w:t>Paper Section 3.4.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None: as specified (NumPyro, see row 1).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1134"/>
          </w:tcPr>
          <w:p>
            <w:r>
              <w:t>2026-09-29</w:t>
            </w:r>
          </w:p>
        </w:tc>
        <w:tc>
          <w:tcPr>
            <w:tcW w:type="dxa" w:w="1134"/>
          </w:tcPr>
          <w:p>
            <w:r>
              <w:t>Admin</w:t>
            </w:r>
          </w:p>
        </w:tc>
        <w:tc>
          <w:tcPr>
            <w:tcW w:type="dxa" w:w="4762"/>
          </w:tcPr>
          <w:p>
            <w:r>
              <w:t>Keep the old step-6 extract for 2000-2012; no re-extraction with the new join.</w:t>
            </w:r>
          </w:p>
        </w:tc>
        <w:tc>
          <w:tcPr>
            <w:tcW w:type="dxa" w:w="3402"/>
          </w:tcPr>
          <w:p>
            <w:r>
              <w:t>Checked: new join adds only 1-4k rows/year in 2000-2004; 2000-2002 are thin in the UIS database itself (19-61k rows, 54-78 countries vs ~200k, 170 from 2003).</w:t>
            </w:r>
          </w:p>
        </w:tc>
        <w:tc>
          <w:tcPr>
            <w:tcW w:type="dxa" w:w="3912"/>
            <w:shd w:val="clear" w:color="auto" w:fill="C6EFCE"/>
          </w:tcPr>
          <w:p>
            <w:r/>
            <w:r>
              <w:rPr>
                <w:b/>
              </w:rPr>
              <w:t xml:space="preserve">Meets. </w:t>
            </w:r>
            <w:r>
              <w:t>Low: early-year thinness is in the source data, so the paper faced the same; a few thousand rows forgone.</w:t>
            </w:r>
          </w:p>
        </w:tc>
      </w:tr>
    </w:tbl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