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db9519d9e487b236a5a346bb3ba94eb0b88867"/>
      <w:r>
        <w:t xml:space="preserve">GAPS: A Large and Diverse Classical Guitar Dataset and Benchmark Transcription Model 분석 보고서</w:t>
      </w:r>
      <w:bookmarkEnd w:id="20"/>
    </w:p>
    <w:p>
      <w:pPr>
        <w:pStyle w:val="Heading2"/>
      </w:pPr>
      <w:bookmarkStart w:id="21" w:name="핵심-요약"/>
      <w:r>
        <w:t xml:space="preserve">핵심 요약</w:t>
      </w:r>
      <w:bookmarkEnd w:id="21"/>
    </w:p>
    <w:p>
      <w:pPr>
        <w:pStyle w:val="FirstParagraph"/>
      </w:pPr>
      <w:r>
        <w:t xml:space="preserve">GAPS(</w:t>
      </w:r>
      <w:r>
        <w:rPr>
          <w:b/>
        </w:rPr>
        <w:t xml:space="preserve">G</w:t>
      </w:r>
      <w:r>
        <w:t xml:space="preserve">uitar-</w:t>
      </w:r>
      <w:r>
        <w:rPr>
          <w:b/>
        </w:rPr>
        <w:t xml:space="preserve">A</w:t>
      </w:r>
      <w:r>
        <w:t xml:space="preserve">ligned</w:t>
      </w:r>
      <w:r>
        <w:t xml:space="preserve"> </w:t>
      </w:r>
      <w:r>
        <w:rPr>
          <w:b/>
        </w:rPr>
        <w:t xml:space="preserve">P</w:t>
      </w:r>
      <w:r>
        <w:t xml:space="preserve">erformance</w:t>
      </w:r>
      <w:r>
        <w:t xml:space="preserve"> </w:t>
      </w:r>
      <w:r>
        <w:rPr>
          <w:b/>
        </w:rPr>
        <w:t xml:space="preserve">S</w:t>
      </w:r>
      <w:r>
        <w:t xml:space="preserve">cores)는</w:t>
      </w:r>
      <w:r>
        <w:t xml:space="preserve"> </w:t>
      </w:r>
      <w:r>
        <w:rPr>
          <w:b/>
        </w:rPr>
        <w:t xml:space="preserve">클래식 기타 연주의 대규모·다양성 데이터셋</w:t>
      </w:r>
      <w:r>
        <w:t xml:space="preserve"> </w:t>
      </w:r>
      <w:r>
        <w:t xml:space="preserve">과 그 위에서 학습한</w:t>
      </w:r>
      <w:r>
        <w:t xml:space="preserve"> </w:t>
      </w:r>
      <w:r>
        <w:rPr>
          <w:b/>
        </w:rPr>
        <w:t xml:space="preserve">벤치마크 채보 모델</w:t>
      </w:r>
      <w:r>
        <w:t xml:space="preserve"> </w:t>
      </w:r>
      <w:r>
        <w:t xml:space="preserve">을 함께 제시한다. GAPS는 자유롭게 이용 가능한</w:t>
      </w:r>
      <w:r>
        <w:t xml:space="preserve"> </w:t>
      </w:r>
      <w:r>
        <w:rPr>
          <w:b/>
        </w:rPr>
        <w:t xml:space="preserve">약 14시간</w:t>
      </w:r>
      <w:r>
        <w:t xml:space="preserve"> </w:t>
      </w:r>
      <w:r>
        <w:t xml:space="preserve">분량의 오디오-악보 정렬 쌍으로,</w:t>
      </w:r>
      <w:r>
        <w:t xml:space="preserve"> </w:t>
      </w:r>
      <w:r>
        <w:rPr>
          <w:b/>
        </w:rPr>
        <w:t xml:space="preserve">200명 이상의 연주자</w:t>
      </w:r>
      <w:r>
        <w:t xml:space="preserve"> </w:t>
      </w:r>
      <w:r>
        <w:t xml:space="preserve">가 다양한 조건에서 녹음했으며, 고해상도</w:t>
      </w:r>
      <w:r>
        <w:t xml:space="preserve"> </w:t>
      </w:r>
      <w:r>
        <w:rPr>
          <w:b/>
        </w:rPr>
        <w:t xml:space="preserve">음표 레벨 MIDI 정렬</w:t>
      </w:r>
      <w:r>
        <w:t xml:space="preserve"> </w:t>
      </w:r>
      <w:r>
        <w:t xml:space="preserve">과</w:t>
      </w:r>
      <w:r>
        <w:t xml:space="preserve"> </w:t>
      </w:r>
      <w:r>
        <w:rPr>
          <w:b/>
        </w:rPr>
        <w:t xml:space="preserve">연주 영상</w:t>
      </w:r>
      <w:r>
        <w:t xml:space="preserve"> </w:t>
      </w:r>
      <w:r>
        <w:t xml:space="preserve">까지 포함한다. 이는 공개된 실제 기타 오디오 데이터셋 중 최대 규모다. GuitarSet(약 3시간, 6명)이 사실상 유일한 표준이던 상황에서, 규모와 연주자 다양성을 한 단계 끌어올린 것이 가장 큰 기여다.</w:t>
      </w:r>
    </w:p>
    <w:p>
      <w:pPr>
        <w:pStyle w:val="BodyText"/>
      </w:pPr>
      <w:r>
        <w:t xml:space="preserve">데이터셋의 유용성을 입증하기 위해, 저자들은 선행 연구(Riley et al. 2024, ICASSP)와 동일한</w:t>
      </w:r>
      <w:r>
        <w:t xml:space="preserve"> </w:t>
      </w:r>
      <w:r>
        <w:rPr>
          <w:b/>
        </w:rPr>
        <w:t xml:space="preserve">Kong et al.(ByteDance)의 고해상도 CRNN</w:t>
      </w:r>
      <w:r>
        <w:t xml:space="preserve"> </w:t>
      </w:r>
      <w:r>
        <w:t xml:space="preserve">아키텍처로 여러 채보 모델을 학습했다. 이는 같은 모델 위에서</w:t>
      </w:r>
      <w:r>
        <w:t xml:space="preserve"> </w:t>
      </w:r>
      <w:r>
        <w:t xml:space="preserve">“</w:t>
      </w:r>
      <w:r>
        <w:t xml:space="preserve">데이터셋만 바꿨을 때</w:t>
      </w:r>
      <w:r>
        <w:t xml:space="preserve">”</w:t>
      </w:r>
      <w:r>
        <w:t xml:space="preserve">의 효과를 공정하게 비교하기 위함이다. 모델은 (1) GAPS만, (2) GAPS+GuitarSet 조합으로 학습되며, 각각 처음부터 학습한 버전과 두 피아노 사전학습 체크포인트에서 미세조정(finetune)한 버전을 둔다.</w:t>
      </w:r>
    </w:p>
    <w:p>
      <w:pPr>
        <w:pStyle w:val="BodyText"/>
      </w:pPr>
      <w:r>
        <w:t xml:space="preserve">결과적으로 GAPS로 학습한 모델은 GuitarSet의</w:t>
      </w:r>
      <w:r>
        <w:t xml:space="preserve"> </w:t>
      </w:r>
      <w:r>
        <w:rPr>
          <w:b/>
        </w:rPr>
        <w:t xml:space="preserve">지도(supervised)</w:t>
      </w:r>
      <w:r>
        <w:t xml:space="preserve"> </w:t>
      </w:r>
      <w:r>
        <w:t xml:space="preserve">와</w:t>
      </w:r>
      <w:r>
        <w:t xml:space="preserve"> </w:t>
      </w:r>
      <w:r>
        <w:rPr>
          <w:b/>
        </w:rPr>
        <w:t xml:space="preserve">제로샷(zero-shot)</w:t>
      </w:r>
      <w:r>
        <w:t xml:space="preserve"> </w:t>
      </w:r>
      <w:r>
        <w:t xml:space="preserve">설정 모두에서 당시 최고 성능(state-of-the-art)을 기록했다. 더 큰 데이터셋이 성능 향상을 견인했다는 것이 핵심 메시지다. 모든 수치는 클린 벤치마크 기준이며, 본 모델 역시 음표 온셋을 추정하고</w:t>
      </w:r>
      <w:r>
        <w:t xml:space="preserve"> </w:t>
      </w:r>
      <w:r>
        <w:rPr>
          <w:b/>
        </w:rPr>
        <w:t xml:space="preserve">프렛/현은 출력하지 않는다.</w:t>
      </w:r>
    </w:p>
    <w:p>
      <w:pPr>
        <w:pStyle w:val="Heading2"/>
      </w:pPr>
      <w:bookmarkStart w:id="22" w:name="서지-정보"/>
      <w:r>
        <w:t xml:space="preserve">서지 정보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제목:</w:t>
      </w:r>
      <w:r>
        <w:t xml:space="preserve"> </w:t>
      </w:r>
      <w:r>
        <w:t xml:space="preserve">GAPS: A Large and Diverse Classical Guitar Dataset and Benchmark Transcription Model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저자:</w:t>
      </w:r>
      <w:r>
        <w:t xml:space="preserve"> </w:t>
      </w:r>
      <w:r>
        <w:t xml:space="preserve">Xavier Riley, Zixun Guo, Drew Edwards, Simon Dixon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소속:</w:t>
      </w:r>
      <w:r>
        <w:t xml:space="preserve"> </w:t>
      </w:r>
      <w:r>
        <w:t xml:space="preserve">Centre for Digital Music (C4DM), Queen Mary University of London (QMUL)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발표처:</w:t>
      </w:r>
      <w:r>
        <w:t xml:space="preserve"> </w:t>
      </w:r>
      <w:r>
        <w:t xml:space="preserve">ISMIR 2024 (International Society for Music Information Retrieval Conference)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연도:</w:t>
      </w:r>
      <w:r>
        <w:t xml:space="preserve"> </w:t>
      </w:r>
      <w:r>
        <w:t xml:space="preserve">2024 (v1 2024-08-16, v2 2024-08-30)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arXiv:</w:t>
      </w:r>
      <w:r>
        <w:t xml:space="preserve"> </w:t>
      </w:r>
      <w:hyperlink r:id="rId23">
        <w:r>
          <w:rPr>
            <w:rStyle w:val="Hyperlink"/>
          </w:rPr>
          <w:t xml:space="preserve">arXiv:2408.08653</w:t>
        </w:r>
      </w:hyperlink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라이선스:</w:t>
      </w:r>
      <w:r>
        <w:t xml:space="preserve"> </w:t>
      </w:r>
      <w:r>
        <w:t xml:space="preserve">CC BY-NC-SA 4.0</w:t>
      </w:r>
    </w:p>
    <w:p>
      <w:pPr>
        <w:pStyle w:val="Heading2"/>
      </w:pPr>
      <w:bookmarkStart w:id="24" w:name="상세-요약"/>
      <w:r>
        <w:t xml:space="preserve">상세 요약</w:t>
      </w:r>
      <w:bookmarkEnd w:id="24"/>
    </w:p>
    <w:p>
      <w:pPr>
        <w:pStyle w:val="FirstParagraph"/>
      </w:pPr>
      <w:r>
        <w:t xml:space="preserve">기타 채보 연구의 고질적 병목은</w:t>
      </w:r>
      <w:r>
        <w:t xml:space="preserve"> </w:t>
      </w:r>
      <w:r>
        <w:rPr>
          <w:b/>
        </w:rPr>
        <w:t xml:space="preserve">정렬된 주석(aligned annotation)이 있는 실제 기타 오디오의 부족</w:t>
      </w:r>
      <w:r>
        <w:t xml:space="preserve"> </w:t>
      </w:r>
      <w:r>
        <w:t xml:space="preserve">이다. GuitarSet은 약 3시간, 6명의 연주자로 구성돼 분포가 좁다. GAPS는 이를 정면으로 겨냥한다. 자유롭게 구할 수 있는 클래식 기타 연주(오디오)와 그 악보를 모아, 음표 단위로 고해상도 정렬한 약 14시간 데이터셋을 구축했다. 200명이 넘는 연주자, 다양한 녹음 환경, 그리고 연주 영상까지 포함해 — 규모뿐 아니라 다양성과 멀티모달 측면에서도 기존 자원을 능가한다.</w:t>
      </w:r>
    </w:p>
    <w:p>
      <w:pPr>
        <w:pStyle w:val="BodyText"/>
      </w:pPr>
      <w:r>
        <w:t xml:space="preserve">벤치마크 모델은 선행 연구와의</w:t>
      </w:r>
      <w:r>
        <w:t xml:space="preserve"> </w:t>
      </w:r>
      <w:r>
        <w:rPr>
          <w:b/>
        </w:rPr>
        <w:t xml:space="preserve">공정 비교</w:t>
      </w:r>
      <w:r>
        <w:t xml:space="preserve">를 의식해 설계됐다. 백본은 Kong et al.의 고해상도 모델 — log mel-spectrogram의 10초 구간을 MIDI로 매핑하는 CRNN이다. 합성곱은 주파수 축으로만 작동해 원 스펙트로그램의 시간 해상도(10ms)를 유지하고, GRU(게이트 순환 유닛)가 이를 받아 음높이·시간 창마다 온셋·오프셋·프레임 활성도·벨로시티를 출력한다. 이 모델을 고른 이유는 두 가지다: (1) Riley et al.(2024)와 같은 아키텍처라 GAPS 데이터의 순수 효과를 분리해 볼 수 있고, (2) 여러 피아노 채보 모델이 같은 구조를 공유해</w:t>
      </w:r>
      <w:r>
        <w:t xml:space="preserve"> </w:t>
      </w:r>
      <w:r>
        <w:rPr>
          <w:b/>
        </w:rPr>
        <w:t xml:space="preserve">미세조정(도메인 적응)</w:t>
      </w:r>
      <w:r>
        <w:t xml:space="preserve"> </w:t>
      </w:r>
      <w:r>
        <w:t xml:space="preserve">실험이 가능하다.</w:t>
      </w:r>
    </w:p>
    <w:p>
      <w:pPr>
        <w:pStyle w:val="BodyText"/>
      </w:pPr>
      <w:r>
        <w:t xml:space="preserve">학습은 두 묶음으로 나뉜다. 첫째 묶음은 GAPS만으로 학습해</w:t>
      </w:r>
      <w:r>
        <w:t xml:space="preserve"> </w:t>
      </w:r>
      <w:r>
        <w:rPr>
          <w:b/>
        </w:rPr>
        <w:t xml:space="preserve">전체 GuitarSet 제로샷</w:t>
      </w:r>
      <w:r>
        <w:t xml:space="preserve"> </w:t>
      </w:r>
      <w:r>
        <w:t xml:space="preserve">추론에 쓰고, 둘째 묶음은 GAPS+GuitarSet로 학습해 GuitarSet·François Leduc·GAPS의 test split에서 평가한다. 각 묶음은 (a) 처음부터 학습, (b) 체크포인트 [10]에서 미세조정, (c) 체크포인트 [13]에서 미세조정의 3변형을 둔다. GAPS는 곡 단위 90:10으로 분할하고, 오디오는 10초 청크(hop 1초)로 자르며, 학습 시 ±3 반음 피치 시프팅을 증강으로 적용한다.</w:t>
      </w:r>
    </w:p>
    <w:p>
      <w:pPr>
        <w:pStyle w:val="Heading2"/>
      </w:pPr>
      <w:bookmarkStart w:id="25" w:name="방법론과-데이터"/>
      <w:r>
        <w:t xml:space="preserve">방법론과 데이터</w:t>
      </w:r>
      <w:bookmarkEnd w:id="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데이터셋 규모</w:t>
            </w:r>
          </w:p>
        </w:tc>
        <w:tc>
          <w:p>
            <w:pPr>
              <w:pStyle w:val="Compact"/>
              <w:jc w:val="left"/>
            </w:pPr>
            <w:r>
              <w:t xml:space="preserve">약 14시간 오디오-악보 정렬 쌍, 200명 이상 연주자, 클래식 기타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주석</w:t>
            </w:r>
          </w:p>
        </w:tc>
        <w:tc>
          <w:p>
            <w:pPr>
              <w:pStyle w:val="Compact"/>
              <w:jc w:val="left"/>
            </w:pPr>
            <w:r>
              <w:t xml:space="preserve">고해상도 음표 레벨 MIDI 정렬 + 연주 영상(멀티모달)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비교 데이터셋</w:t>
            </w:r>
          </w:p>
        </w:tc>
        <w:tc>
          <w:p>
            <w:pPr>
              <w:pStyle w:val="Compact"/>
              <w:jc w:val="left"/>
            </w:pPr>
            <w:r>
              <w:t xml:space="preserve">GuitarSet(약 3시간, 6명), EGDB(2시간 일렉, 헥사포닉) 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백본 모델</w:t>
            </w:r>
          </w:p>
        </w:tc>
        <w:tc>
          <w:p>
            <w:pPr>
              <w:pStyle w:val="Compact"/>
              <w:jc w:val="left"/>
            </w:pPr>
            <w:r>
              <w:t xml:space="preserve">Kong et al.(ByteDance) 고해상도 CRNN — log mel → MIDI, 주파수축 conv + GRU, 10ms 해상도, 온셋·오프셋·프레임·벨로시티 출력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학습 구성</w:t>
            </w:r>
          </w:p>
        </w:tc>
        <w:tc>
          <w:p>
            <w:pPr>
              <w:pStyle w:val="Compact"/>
              <w:jc w:val="left"/>
            </w:pPr>
            <w:r>
              <w:t xml:space="preserve">① GAPS만 → 제로샷 ② GAPS+GuitarSet → 지도. 각 3변형(scratch / 체크포인트[10] finetune / 체크포인트[13] finetune)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데이터 분할</w:t>
            </w:r>
          </w:p>
        </w:tc>
        <w:tc>
          <w:p>
            <w:pPr>
              <w:pStyle w:val="Compact"/>
              <w:jc w:val="left"/>
            </w:pPr>
            <w:r>
              <w:t xml:space="preserve">GAPS 곡 단위 90:10, 10초 청크(hop 1s)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증강</w:t>
            </w:r>
          </w:p>
        </w:tc>
        <w:tc>
          <w:p>
            <w:pPr>
              <w:pStyle w:val="Compact"/>
              <w:jc w:val="left"/>
            </w:pPr>
            <w:r>
              <w:t xml:space="preserve">학습 시 ±3 반음 피치 시프팅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출력</w:t>
            </w:r>
          </w:p>
        </w:tc>
        <w:tc>
          <w:p>
            <w:pPr>
              <w:pStyle w:val="Compact"/>
              <w:jc w:val="left"/>
            </w:pPr>
            <w:r>
              <w:t xml:space="preserve">음표 온셋 (프렛/현 미출력)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평가</w:t>
            </w:r>
          </w:p>
        </w:tc>
        <w:tc>
          <w:p>
            <w:pPr>
              <w:pStyle w:val="Compact"/>
              <w:jc w:val="left"/>
            </w:pPr>
            <w:r>
              <w:t xml:space="preserve">mir_eval, 50ms onset-only P/R/F1, GuitarSet 지도/제로샷 + FL + GAPS test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A[200+ 연주자&lt;br/&gt;클래식 기타 영상] --&gt; B[오디오 추출]</w:t>
      </w:r>
      <w:r>
        <w:br/>
      </w:r>
      <w:r>
        <w:rPr>
          <w:rStyle w:val="VerbatimChar"/>
        </w:rPr>
        <w:t xml:space="preserve">    A --&gt; C[악보 수집]</w:t>
      </w:r>
      <w:r>
        <w:br/>
      </w:r>
      <w:r>
        <w:rPr>
          <w:rStyle w:val="VerbatimChar"/>
        </w:rPr>
        <w:t xml:space="preserve">    B --&gt; D[음표 레벨&lt;br/&gt;고해상도 정렬]</w:t>
      </w:r>
      <w:r>
        <w:br/>
      </w:r>
      <w:r>
        <w:rPr>
          <w:rStyle w:val="VerbatimChar"/>
        </w:rPr>
        <w:t xml:space="preserve">    C --&gt; D</w:t>
      </w:r>
      <w:r>
        <w:br/>
      </w:r>
      <w:r>
        <w:rPr>
          <w:rStyle w:val="VerbatimChar"/>
        </w:rPr>
        <w:t xml:space="preserve">    D --&gt; E[GAPS 데이터셋&lt;br/&gt;약 14시간]</w:t>
      </w:r>
      <w:r>
        <w:br/>
      </w:r>
      <w:r>
        <w:rPr>
          <w:rStyle w:val="VerbatimChar"/>
        </w:rPr>
        <w:t xml:space="preserve">    P[피아노 사전학습&lt;br/&gt;체크포인트] -.finetune.-&gt; F[CRNN 채보 모델&lt;br/&gt;Kong et al.]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GS[GuitarSet] -.조합.-&gt; F</w:t>
      </w:r>
      <w:r>
        <w:br/>
      </w:r>
      <w:r>
        <w:rPr>
          <w:rStyle w:val="VerbatimChar"/>
        </w:rPr>
        <w:t xml:space="preserve">    F --&gt; G[GuitarSet 지도/제로샷&lt;br/&gt;SOTA 음표 온셋]</w:t>
      </w:r>
    </w:p>
    <w:p>
      <w:pPr>
        <w:pStyle w:val="Heading2"/>
      </w:pPr>
      <w:bookmarkStart w:id="26" w:name="결과와-의의"/>
      <w:r>
        <w:t xml:space="preserve">결과와 의의</w:t>
      </w:r>
      <w:bookmarkEnd w:id="26"/>
    </w:p>
    <w:p>
      <w:pPr>
        <w:pStyle w:val="FirstParagraph"/>
      </w:pPr>
      <w:r>
        <w:t xml:space="preserve">모든 수치는</w:t>
      </w:r>
      <w:r>
        <w:t xml:space="preserve"> </w:t>
      </w:r>
      <w:r>
        <w:rPr>
          <w:b/>
        </w:rPr>
        <w:t xml:space="preserve">클린한 GuitarSet</w:t>
      </w:r>
      <w:r>
        <w:t xml:space="preserve"> </w:t>
      </w:r>
      <w:r>
        <w:t xml:space="preserve">위에서 50ms 허용오차</w:t>
      </w:r>
      <w:r>
        <w:t xml:space="preserve"> </w:t>
      </w:r>
      <w:r>
        <w:rPr>
          <w:b/>
        </w:rPr>
        <w:t xml:space="preserve">onset-only F1</w:t>
      </w:r>
      <w:r>
        <w:t xml:space="preserve">(P50/R50/F50, %, mir_eval)이다.</w:t>
      </w:r>
    </w:p>
    <w:p>
      <w:pPr>
        <w:pStyle w:val="BodyText"/>
      </w:pPr>
      <w:r>
        <w:rPr>
          <w:b/>
        </w:rPr>
        <w:t xml:space="preserve">지도 설정 — GuitarSet test split (논문 Table 3, 발췌):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R50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Basic Pitch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79.0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MT3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90.0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Lu et al.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91.1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Riley et al. 2024 (GS+FL)</w:t>
            </w:r>
          </w:p>
        </w:tc>
        <w:tc>
          <w:p>
            <w:pPr>
              <w:pStyle w:val="Compact"/>
              <w:jc w:val="left"/>
            </w:pPr>
            <w:r>
              <w:t xml:space="preserve">91.1</w:t>
            </w:r>
          </w:p>
        </w:tc>
        <w:tc>
          <w:p>
            <w:pPr>
              <w:pStyle w:val="Compact"/>
              <w:jc w:val="left"/>
            </w:pPr>
            <w:r>
              <w:t xml:space="preserve">88.5</w:t>
            </w:r>
          </w:p>
        </w:tc>
        <w:tc>
          <w:p>
            <w:pPr>
              <w:pStyle w:val="Compact"/>
              <w:jc w:val="left"/>
            </w:pPr>
            <w:r>
              <w:t xml:space="preserve">89.7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본 논문 (GAPS+GS, [13]에서 finetune)</w:t>
            </w:r>
          </w:p>
        </w:tc>
        <w:tc>
          <w:p>
            <w:pPr>
              <w:pStyle w:val="Compact"/>
              <w:jc w:val="left"/>
            </w:pPr>
            <w:r>
              <w:t xml:space="preserve">91.3</w:t>
            </w:r>
          </w:p>
        </w:tc>
        <w:tc>
          <w:p>
            <w:pPr>
              <w:pStyle w:val="Compact"/>
              <w:jc w:val="left"/>
            </w:pPr>
            <w:r>
              <w:t xml:space="preserve">90.7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91.2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본 논문 (GAPS+GS, [10]에서 finetune)</w:t>
            </w:r>
          </w:p>
        </w:tc>
        <w:tc>
          <w:p>
            <w:pPr>
              <w:pStyle w:val="Compact"/>
              <w:jc w:val="left"/>
            </w:pPr>
            <w:r>
              <w:t xml:space="preserve">89.4</w:t>
            </w:r>
          </w:p>
        </w:tc>
        <w:tc>
          <w:p>
            <w:pPr>
              <w:pStyle w:val="Compact"/>
              <w:jc w:val="left"/>
            </w:pPr>
            <w:r>
              <w:t xml:space="preserve">92.1</w:t>
            </w:r>
          </w:p>
        </w:tc>
        <w:tc>
          <w:p>
            <w:pPr>
              <w:pStyle w:val="Compact"/>
              <w:jc w:val="left"/>
            </w:pPr>
            <w:r>
              <w:t xml:space="preserve">90.7</w:t>
            </w:r>
          </w:p>
        </w:tc>
      </w:tr>
    </w:tbl>
    <w:p>
      <w:pPr>
        <w:pStyle w:val="BodyText"/>
      </w:pPr>
      <w:r>
        <w:rPr>
          <w:b/>
        </w:rPr>
        <w:t xml:space="preserve">제로샷 설정 — 전체 GuitarSet (GuitarSet 미학습) (논문 Table 4, 발췌):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R50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MT3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Zang et al. (SynthTab)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70.2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Maman (MusicNet_EM)</w:t>
            </w:r>
          </w:p>
        </w:tc>
        <w:tc>
          <w:p>
            <w:pPr>
              <w:pStyle w:val="Compact"/>
              <w:jc w:val="left"/>
            </w:pPr>
            <w:r>
              <w:t xml:space="preserve">86.6</w:t>
            </w:r>
          </w:p>
        </w:tc>
        <w:tc>
          <w:p>
            <w:pPr>
              <w:pStyle w:val="Compact"/>
              <w:jc w:val="left"/>
            </w:pPr>
            <w:r>
              <w:t xml:space="preserve">80.4</w:t>
            </w:r>
          </w:p>
        </w:tc>
        <w:tc>
          <w:p>
            <w:pPr>
              <w:pStyle w:val="Compact"/>
              <w:jc w:val="left"/>
            </w:pPr>
            <w:r>
              <w:t xml:space="preserve">82.9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Riley et al. 2024</w:t>
            </w:r>
          </w:p>
        </w:tc>
        <w:tc>
          <w:p>
            <w:pPr>
              <w:pStyle w:val="Compact"/>
              <w:jc w:val="left"/>
            </w:pPr>
            <w:r>
              <w:t xml:space="preserve">88.0</w:t>
            </w:r>
          </w:p>
        </w:tc>
        <w:tc>
          <w:p>
            <w:pPr>
              <w:pStyle w:val="Compact"/>
              <w:jc w:val="left"/>
            </w:pPr>
            <w:r>
              <w:t xml:space="preserve">87.1</w:t>
            </w:r>
          </w:p>
        </w:tc>
        <w:tc>
          <w:p>
            <w:pPr>
              <w:pStyle w:val="Compact"/>
              <w:jc w:val="left"/>
            </w:pPr>
            <w:r>
              <w:t xml:space="preserve">87.3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본 논문 (scratch)</w:t>
            </w:r>
          </w:p>
        </w:tc>
        <w:tc>
          <w:p>
            <w:pPr>
              <w:pStyle w:val="Compact"/>
              <w:jc w:val="left"/>
            </w:pPr>
            <w:r>
              <w:t xml:space="preserve">92.4</w:t>
            </w:r>
          </w:p>
        </w:tc>
        <w:tc>
          <w:p>
            <w:pPr>
              <w:pStyle w:val="Compact"/>
              <w:jc w:val="left"/>
            </w:pPr>
            <w:r>
              <w:t xml:space="preserve">81.8</w:t>
            </w:r>
          </w:p>
        </w:tc>
        <w:tc>
          <w:p>
            <w:pPr>
              <w:pStyle w:val="Compact"/>
              <w:jc w:val="left"/>
            </w:pPr>
            <w:r>
              <w:t xml:space="preserve">86.1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본 논문 ([10]에서 finetune)</w:t>
            </w:r>
          </w:p>
        </w:tc>
        <w:tc>
          <w:p>
            <w:pPr>
              <w:pStyle w:val="Compact"/>
              <w:jc w:val="left"/>
            </w:pPr>
            <w:r>
              <w:t xml:space="preserve">91.6</w:t>
            </w:r>
          </w:p>
        </w:tc>
        <w:tc>
          <w:p>
            <w:pPr>
              <w:pStyle w:val="Compact"/>
              <w:jc w:val="left"/>
            </w:pPr>
            <w:r>
              <w:t xml:space="preserve">83.7</w:t>
            </w:r>
          </w:p>
        </w:tc>
        <w:tc>
          <w:p>
            <w:pPr>
              <w:pStyle w:val="Compact"/>
              <w:jc w:val="left"/>
            </w:pPr>
            <w:r>
              <w:t xml:space="preserve">87.0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본 논문 ([13]에서 finetune)</w:t>
            </w:r>
          </w:p>
        </w:tc>
        <w:tc>
          <w:p>
            <w:pPr>
              <w:pStyle w:val="Compact"/>
              <w:jc w:val="left"/>
            </w:pPr>
            <w:r>
              <w:t xml:space="preserve">91.1</w:t>
            </w:r>
          </w:p>
        </w:tc>
        <w:tc>
          <w:p>
            <w:pPr>
              <w:pStyle w:val="Compact"/>
              <w:jc w:val="left"/>
            </w:pPr>
            <w:r>
              <w:t xml:space="preserve">85.9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88.1</w:t>
            </w:r>
          </w:p>
        </w:tc>
      </w:tr>
    </w:tbl>
    <w:p>
      <w:pPr>
        <w:pStyle w:val="BodyText"/>
      </w:pPr>
      <w:r>
        <w:t xml:space="preserve">핵심 발견: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지도 설정</w:t>
      </w:r>
      <w:r>
        <w:t xml:space="preserve">에서 GAPS+GuitarSet(피아노 체크포인트 [13] 미세조정) 모델이</w:t>
      </w:r>
      <w:r>
        <w:t xml:space="preserve"> </w:t>
      </w:r>
      <w:r>
        <w:rPr>
          <w:b/>
        </w:rPr>
        <w:t xml:space="preserve">F1 91.2%</w:t>
      </w:r>
      <w:r>
        <w:t xml:space="preserve"> </w:t>
      </w:r>
      <w:r>
        <w:t xml:space="preserve">로, 선행 SOTA(Lu et al. 91.1, Riley 2024 89.7)를 넘는다.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제로샷 설정</w:t>
      </w:r>
      <w:r>
        <w:t xml:space="preserve">에서 GAPS만으로 학습 후 미세조정한 모델이</w:t>
      </w:r>
      <w:r>
        <w:t xml:space="preserve"> </w:t>
      </w:r>
      <w:r>
        <w:rPr>
          <w:b/>
        </w:rPr>
        <w:t xml:space="preserve">F1 88.1%</w:t>
      </w:r>
      <w:r>
        <w:t xml:space="preserve"> </w:t>
      </w:r>
      <w:r>
        <w:t xml:space="preserve">로, 선행 SOTA(Riley 2024의 87.3)를 갱신한다.</w:t>
      </w:r>
    </w:p>
    <w:p>
      <w:pPr>
        <w:numPr>
          <w:ilvl w:val="0"/>
          <w:numId w:val="1002"/>
        </w:numPr>
        <w:pStyle w:val="Compact"/>
      </w:pPr>
      <w:r>
        <w:t xml:space="preserve">아키텍처가 Riley et al.(2024)와 동일하므로, 성능 향상의 주된 동인은</w:t>
      </w:r>
      <w:r>
        <w:t xml:space="preserve"> </w:t>
      </w:r>
      <w:r>
        <w:rPr>
          <w:b/>
        </w:rPr>
        <w:t xml:space="preserve">더 큰 데이터셋(GAPS)</w:t>
      </w:r>
      <w:r>
        <w:t xml:space="preserve"> </w:t>
      </w:r>
      <w:r>
        <w:t xml:space="preserve">임이 분명하다 — 데이터 규모가 모델을 견인한다는 메시지를 실험으로 뒷받침.</w:t>
      </w:r>
    </w:p>
    <w:p>
      <w:pPr>
        <w:numPr>
          <w:ilvl w:val="0"/>
          <w:numId w:val="1002"/>
        </w:numPr>
        <w:pStyle w:val="Compact"/>
      </w:pPr>
      <w:r>
        <w:t xml:space="preserve">피아노 사전학습 체크포인트에서의 미세조정이 일관되게 도움을 준다(도메인 적응의 효과 재확인).</w:t>
      </w:r>
    </w:p>
    <w:p>
      <w:pPr>
        <w:pStyle w:val="FirstParagraph"/>
      </w:pPr>
      <w:r>
        <w:t xml:space="preserve">학술적 의의: GAPS는 GuitarSet 이후 처음으로</w:t>
      </w:r>
      <w:r>
        <w:t xml:space="preserve"> </w:t>
      </w:r>
      <w:r>
        <w:rPr>
          <w:b/>
        </w:rPr>
        <w:t xml:space="preserve">규모·다양성·멀티모달(영상 포함)</w:t>
      </w:r>
      <w:r>
        <w:t xml:space="preserve"> </w:t>
      </w:r>
      <w:r>
        <w:t xml:space="preserve">을 동시에 갖춘 공개 실기타 데이터셋이다. 클래식 기타라는 영역에서 음표 레벨 정렬 MIDI를 제공해, 후속 연구의 학습·평가 토대를 넓혔다.</w:t>
      </w:r>
    </w:p>
    <w:p>
      <w:pPr>
        <w:pStyle w:val="Heading2"/>
      </w:pPr>
      <w:bookmarkStart w:id="27" w:name="한계와-비판"/>
      <w:r>
        <w:t xml:space="preserve">한계와 비판</w:t>
      </w:r>
      <w:bookmarkEnd w:id="27"/>
    </w:p>
    <w:p>
      <w:pPr>
        <w:numPr>
          <w:ilvl w:val="0"/>
          <w:numId w:val="1003"/>
        </w:numPr>
      </w:pPr>
      <w:r>
        <w:rPr>
          <w:b/>
        </w:rPr>
        <w:t xml:space="preserve">프렛/현 미출력:</w:t>
      </w:r>
      <w:r>
        <w:t xml:space="preserve"> </w:t>
      </w:r>
      <w:r>
        <w:t xml:space="preserve">벤치마크 모델은 선행 Riley et al.(2024)과 마찬가지로 음표 온셋을 추정하며</w:t>
      </w:r>
      <w:r>
        <w:t xml:space="preserve"> </w:t>
      </w:r>
      <w:r>
        <w:rPr>
          <w:b/>
        </w:rPr>
        <w:t xml:space="preserve">현·프렛을 출력하지 않는다.</w:t>
      </w:r>
      <w:r>
        <w:t xml:space="preserve"> </w:t>
      </w:r>
      <w:r>
        <w:t xml:space="preserve">따라서 ’음표 채보’이지 ’타브 채보’가 아니다. TabCNN/FretNet 같은 진정한 타브 출력과는 과제 정의가 다르다.</w:t>
      </w:r>
    </w:p>
    <w:p>
      <w:pPr>
        <w:numPr>
          <w:ilvl w:val="0"/>
          <w:numId w:val="1003"/>
        </w:numPr>
      </w:pPr>
      <w:r>
        <w:rPr>
          <w:b/>
        </w:rPr>
        <w:t xml:space="preserve">확장 주법·오프셋 한계:</w:t>
      </w:r>
      <w:r>
        <w:t xml:space="preserve"> </w:t>
      </w:r>
      <w:r>
        <w:t xml:space="preserve">평가가 onset-only(50ms)에 집중된다. 클래식 기타의 슬러(slur)·하모닉스·라스게아도 등 표현은 별도로 다뤄지지 않으며, 음 길이(오프셋)·세기도 핵심 평가에서 빠진다.</w:t>
      </w:r>
    </w:p>
    <w:p>
      <w:pPr>
        <w:numPr>
          <w:ilvl w:val="0"/>
          <w:numId w:val="1003"/>
        </w:numPr>
      </w:pPr>
      <w:r>
        <w:rPr>
          <w:b/>
        </w:rPr>
        <w:t xml:space="preserve">장르 편향(클래식):</w:t>
      </w:r>
      <w:r>
        <w:t xml:space="preserve"> </w:t>
      </w:r>
      <w:r>
        <w:t xml:space="preserve">GAPS는</w:t>
      </w:r>
      <w:r>
        <w:t xml:space="preserve"> </w:t>
      </w:r>
      <w:r>
        <w:rPr>
          <w:b/>
        </w:rPr>
        <w:t xml:space="preserve">클래식 기타</w:t>
      </w:r>
      <w:r>
        <w:t xml:space="preserve"> </w:t>
      </w:r>
      <w:r>
        <w:t xml:space="preserve">중심이다. 나일론 현 어쿠스틱 분포에 치우쳐, 일렉 기타·강한 이펙트·왜곡 톤에는 그대로 일반화되지 않을 수 있다. 200명 연주자라는 다양성은 연주자·녹음 환경의 다양성이지 음향적 장르의 폭은 아니다.</w:t>
      </w:r>
    </w:p>
    <w:p>
      <w:pPr>
        <w:numPr>
          <w:ilvl w:val="0"/>
          <w:numId w:val="1003"/>
        </w:numPr>
      </w:pPr>
      <w:r>
        <w:rPr>
          <w:b/>
        </w:rPr>
        <w:t xml:space="preserve">클린 벤치마크 vs 실음원:</w:t>
      </w:r>
      <w:r>
        <w:t xml:space="preserve"> </w:t>
      </w:r>
      <w:r>
        <w:t xml:space="preserve">보고된 91.2%/88.1%는 모두</w:t>
      </w:r>
      <w:r>
        <w:t xml:space="preserve"> </w:t>
      </w:r>
      <w:r>
        <w:rPr>
          <w:b/>
        </w:rPr>
        <w:t xml:space="preserve">깨끗한 GuitarSet</w:t>
      </w:r>
      <w:r>
        <w:t xml:space="preserve"> </w:t>
      </w:r>
      <w:r>
        <w:t xml:space="preserve">기준이다. GAPS 자체가 비교적 정제된 클래식 기타 녹음이므로, 잡음·반향·밴드 합주 분리 후 음원 같은 실제 야생 조건의 성능은 별도 검증이 필요하며 더 낮다고 보는 것이 합리적이다.</w:t>
      </w:r>
    </w:p>
    <w:p>
      <w:pPr>
        <w:numPr>
          <w:ilvl w:val="0"/>
          <w:numId w:val="1003"/>
        </w:numPr>
      </w:pPr>
      <w:r>
        <w:rPr>
          <w:b/>
        </w:rPr>
        <w:t xml:space="preserve">정렬 품질 의존:</w:t>
      </w:r>
      <w:r>
        <w:t xml:space="preserve"> </w:t>
      </w:r>
      <w:r>
        <w:t xml:space="preserve">음표 레벨 정렬의 정확도가 라벨 품질을 좌우한다. 악보와 연주가 크게 다른 즉흥적 해석이나 자유 템포 구간에서는 정렬 오차가 라벨에 그대로 반영될 수 있다.</w:t>
      </w:r>
    </w:p>
    <w:p>
      <w:pPr>
        <w:numPr>
          <w:ilvl w:val="0"/>
          <w:numId w:val="1003"/>
        </w:numPr>
      </w:pPr>
      <w:r>
        <w:rPr>
          <w:b/>
        </w:rPr>
        <w:t xml:space="preserve">라이선스 제약:</w:t>
      </w:r>
      <w:r>
        <w:t xml:space="preserve"> </w:t>
      </w:r>
      <w:r>
        <w:t xml:space="preserve">CC BY-NC-SA(비상업) 라이선스로, 상업적 활용에는 제약이 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arxiv.org/abs/2408.08653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arxiv.org/abs/2408.0865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2026-06-21T00:44:54Z</dcterms:created>
  <dcterms:modified xsi:type="dcterms:W3CDTF">2026-06-21T00:44:54Z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