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e8aaae13a24c76" /></Relationships>
</file>

<file path=word/document.xml><?xml version="1.0" encoding="utf-8"?>
<w:document xmlns:w="http://schemas.openxmlformats.org/wordprocessingml/2006/main">
  <w:body>
    <w:p>
      <w:pPr>
        <w:pStyle w:val="Heading1"/>
      </w:pPr>
      <w:r>
        <w:t>Quarterly Sales Report — Q4 2025</w:t>
      </w:r>
    </w:p>
    <w:p>
      <w:r>
        <w:t>This report summarizes our quarterly performance across all regions. Revenue increased 15% year-over-year, driven primarily by the EMEA and APAC markets. The following charts illustrate the trends in detail.</w:t>
      </w:r>
    </w:p>
    <w:p>
      <w:r>
        <w:drawing>
          <wp:inline xmlns:wp="http://schemas.openxmlformats.org/drawingml/2006/wordprocessingDrawing" distT="0" distB="0" distL="0" distR="0">
            <wp:extent cx="1143000" cy="762000"/>
            <wp:docPr id="1" name="Figure 1: Revenue by Region"/>
            <a:graphic xmlns:a="http://schemas.openxmlformats.org/drawingml/2006/main">
              <a:graphicData uri="http://schemas.openxmlformats.org/drawingml/2006/picture">
                <pic:pic xmlns:pic="http://schemas.openxmlformats.org/drawingml/2006/picture">
                  <pic:nvPicPr>
                    <pic:cNvPr id="0" name="Figure 1: Revenue by Region"/>
                    <pic:cNvPicPr/>
                  </pic:nvPicPr>
                  <pic:blipFill>
                    <a:blip xmlns:r="http://schemas.openxmlformats.org/officeDocument/2006/relationships" r:embed="R912a30ca67834e1f"/>
                    <a:stretch>
                      <a:fillRect/>
                    </a:stretch>
                  </pic:blipFill>
                  <pic:spPr>
                    <a:xfrm>
                      <a:off x="0" y="0"/>
                      <a:ext cx="1143000" cy="762000"/>
                    </a:xfrm>
                    <a:prstGeom prst="rect">
                      <a:avLst/>
                    </a:prstGeom>
                  </pic:spPr>
                </pic:pic>
              </a:graphicData>
            </a:graphic>
          </wp:inline>
        </w:drawing>
      </w:r>
    </w:p>
    <w:p>
      <w:r>
        <w:t>Customer satisfaction scores also improved significantly. The Net Promoter Score rose from 42 to 58, exceeding our annual target of 50. Key drivers included faster response times and the new self-service portal.</w:t>
      </w:r>
    </w:p>
    <w:p>
      <w:r>
        <w:drawing>
          <wp:inline xmlns:wp="http://schemas.openxmlformats.org/drawingml/2006/wordprocessingDrawing" distT="0" distB="0" distL="0" distR="0">
            <wp:extent cx="952500" cy="952500"/>
            <wp:docPr id="1" name="Figure 2: Customer Satisfaction Trend"/>
            <a:graphic xmlns:a="http://schemas.openxmlformats.org/drawingml/2006/main">
              <a:graphicData uri="http://schemas.openxmlformats.org/drawingml/2006/picture">
                <pic:pic xmlns:pic="http://schemas.openxmlformats.org/drawingml/2006/picture">
                  <pic:nvPicPr>
                    <pic:cNvPr id="0" name="Figure 2: Customer Satisfaction Trend"/>
                    <pic:cNvPicPr/>
                  </pic:nvPicPr>
                  <pic:blipFill>
                    <a:blip xmlns:r="http://schemas.openxmlformats.org/officeDocument/2006/relationships" r:embed="R019313ca2fc340dc"/>
                    <a:stretch>
                      <a:fillRect/>
                    </a:stretch>
                  </pic:blipFill>
                  <pic:spPr>
                    <a:xfrm>
                      <a:off x="0" y="0"/>
                      <a:ext cx="952500" cy="952500"/>
                    </a:xfrm>
                    <a:prstGeom prst="rect">
                      <a:avLst/>
                    </a:prstGeom>
                  </pic:spPr>
                </pic:pic>
              </a:graphicData>
            </a:graphic>
          </wp:inline>
        </w:drawing>
      </w:r>
    </w:p>
    <w:p>
      <w:r>
        <w:t>Looking ahead to Q1 2026, we expect continued growth in APAC while maintaining strong margins in North America. The product team is preparing three major feature launches that should further improve retention metrics.</w:t>
      </w:r>
    </w:p>
  </w:body>
</w:document>
</file>

<file path=word/_rels/document.xml.rels>&#65279;<?xml version="1.0" encoding="utf-8"?><Relationships xmlns="http://schemas.openxmlformats.org/package/2006/relationships"><Relationship Type="http://schemas.openxmlformats.org/officeDocument/2006/relationships/image" Target="/media/image.png" Id="R912a30ca67834e1f" /><Relationship Type="http://schemas.openxmlformats.org/officeDocument/2006/relationships/image" Target="/media/image2.png" Id="R019313ca2fc340dc" /></Relationships>
</file>