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Executive Summary</w:t>
        <w:br/>
        <w:t>SDG 4 Equity Diagnostic and School Segmentation Prototype</w:t>
      </w:r>
    </w:p>
    <w:p>
      <w:pPr>
        <w:jc w:val="center"/>
      </w:pPr>
      <w:r>
        <w:rPr>
          <w:i/>
        </w:rPr>
        <w:t>Generated on 2026-04-03 from the completed local analysis pipeline.</w:t>
      </w:r>
    </w:p>
    <w:p/>
    <w:p>
      <w:pPr>
        <w:pStyle w:val="Heading1"/>
      </w:pPr>
      <w:r>
        <w:t>Purpose</w:t>
      </w:r>
    </w:p>
    <w:p>
      <w:r>
        <w:t>This project tests whether available PISA-style data are sufficient to support a rigorous SDG 4 competition concept focused on education inequality. The final product is a hybrid decision-support prototype: cross-country equity diagnostics, school-profile segmentation, and transparent intervention prioritisation.</w:t>
      </w:r>
    </w:p>
    <w:p>
      <w:pPr>
        <w:pStyle w:val="Heading1"/>
      </w:pPr>
      <w:r>
        <w:t>Data and methodology</w:t>
      </w:r>
    </w:p>
    <w:p>
      <w:pPr>
        <w:pStyle w:val="ListBullet"/>
      </w:pPr>
      <w:r>
        <w:t>Data coverage: 16 local input files were inventoried, including derived CSV tables and raw PISA 2022 SAV files for students, schools, teachers, cognitive items, and financial-literacy files.</w:t>
      </w:r>
    </w:p>
    <w:p>
      <w:pPr>
        <w:pStyle w:val="ListBullet"/>
      </w:pPr>
      <w:r>
        <w:t>Trend analysis used all available country-year data. Rich school-level profiling used the 2022 raw files because that is where the strongest school-context detail exists.</w:t>
      </w:r>
    </w:p>
    <w:p>
      <w:pPr>
        <w:pStyle w:val="ListBullet"/>
      </w:pPr>
      <w:r>
        <w:t>Primary equity metric: weighted mathematics score gap between top and bottom ESCS quartiles at country level. School-level inequality used a within-school SES-maths gap and SES slope where sample size permitted.</w:t>
      </w:r>
    </w:p>
    <w:p>
      <w:pPr>
        <w:pStyle w:val="ListBullet"/>
      </w:pPr>
      <w:r>
        <w:t>Methods were deliberately transparent: weighted descriptive summaries, country ranking and trajectory classification, school risk diagnostics, regularised correlates analysis, within-school quadrant analysis, and interpretable rule-based segmentation.</w:t>
      </w:r>
    </w:p>
    <w:p>
      <w:pPr>
        <w:pStyle w:val="ListBullet"/>
      </w:pPr>
      <w:r>
        <w:t>Interpretation standard: observational and correlational. The analysis supports prioritisation and diagnosis, not causal proof.</w:t>
      </w:r>
    </w:p>
    <w:p>
      <w:pPr>
        <w:pStyle w:val="Heading1"/>
      </w:pPr>
      <w:r>
        <w:t>Key findings</w:t>
      </w:r>
    </w:p>
    <w:p>
      <w:pPr>
        <w:pStyle w:val="ListBullet"/>
      </w:pPr>
      <w:r>
        <w:t>Highest latest observed SES-maths gaps were Romania (128.9), Slovakia (126.2), Israel (125.7), Czechia (123.9), and Chinese Taipei (121.3).</w:t>
      </w:r>
    </w:p>
    <w:p>
      <w:pPr>
        <w:pStyle w:val="ListBullet"/>
      </w:pPr>
      <w:r>
        <w:t>Among systems with strong trend evidence, the largest gap increases were Romania (+57.5), Italy (+45.0), Czechia (+40.9), Finland (+38.7), and Israel (+38.6).</w:t>
      </w:r>
    </w:p>
    <w:p>
      <w:pPr>
        <w:pStyle w:val="ListBullet"/>
      </w:pPr>
      <w:r>
        <w:t>The published school typology identifies 6 interpretable segments across 15,462 schools with complete enough data for segmentation.</w:t>
      </w:r>
    </w:p>
    <w:p>
      <w:pPr>
        <w:pStyle w:val="ListBullet"/>
      </w:pPr>
      <w:r>
        <w:t>The largest school segment is 'High-achievement unequal schools', combining 4,676 schools with mean maths 501.9 and within-school gap 69.6.</w:t>
      </w:r>
    </w:p>
    <w:p>
      <w:pPr>
        <w:pStyle w:val="ListBullet"/>
      </w:pPr>
      <w:r>
        <w:t>Within-school inequality matters: high-performance/high-inequality schools average maths 501.9 with gap 69.6, while low-performance/low-inequality schools average maths 375.3 with gap -0.2.</w:t>
      </w:r>
    </w:p>
    <w:p>
      <w:pPr>
        <w:pStyle w:val="Heading1"/>
      </w:pPr>
      <w:r>
        <w:t>Correlates and likely drivers</w:t>
      </w:r>
    </w:p>
    <w:p>
      <w:pPr>
        <w:pStyle w:val="ListBullet"/>
      </w:pPr>
      <w:r>
        <w:t>For school mean maths, the strongest observed correlates were school mean ESCS, student maths self-efficacy, and attendance-related measures such as skipping and tardiness.</w:t>
      </w:r>
    </w:p>
    <w:p>
      <w:pPr>
        <w:pStyle w:val="ListBullet"/>
      </w:pPr>
      <w:r>
        <w:t>For the supplied school risk score, lower homework, weaker ICT regulation, more skipping, and lower educational expectations co-moved with higher risk.</w:t>
      </w:r>
    </w:p>
    <w:p>
      <w:pPr>
        <w:pStyle w:val="ListBullet"/>
      </w:pPr>
      <w:r>
        <w:t>For within-school inequality, school SES composition, homework, belonging, climate, and support-staff proxies were among the strongest observed correlates.</w:t>
      </w:r>
    </w:p>
    <w:p>
      <w:pPr>
        <w:pStyle w:val="ListBullet"/>
      </w:pPr>
      <w:r>
        <w:t>These are correlates, not proven causes. The current data can describe patterns associated with gaps, but not identify the definitive reason the gap exists inside a school.</w:t>
      </w:r>
    </w:p>
    <w:p>
      <w:pPr>
        <w:pStyle w:val="Heading1"/>
      </w:pPr>
      <w:r>
        <w:t>Recommended final representable</w:t>
      </w:r>
    </w:p>
    <w:p>
      <w:pPr>
        <w:pStyle w:val="ListBullet"/>
      </w:pPr>
      <w:r>
        <w:t>The strongest competition representable is a dashboard prototype with interactive visualisations inside it, not a standalone chart deck.</w:t>
      </w:r>
    </w:p>
    <w:p>
      <w:pPr>
        <w:pStyle w:val="ListBullet"/>
      </w:pPr>
      <w:r>
        <w:t>Recommended structure: country diagnostic view, school-segmentation view, recommendation engine, and evidence/limits view.</w:t>
      </w:r>
    </w:p>
    <w:p>
      <w:pPr>
        <w:pStyle w:val="ListBullet"/>
      </w:pPr>
      <w:r>
        <w:t>This framing is stronger than a generic policy essay and safer than a fully prescriptive individual-school dashboard.</w:t>
      </w:r>
    </w:p>
    <w:p>
      <w:pPr>
        <w:pStyle w:val="Heading1"/>
      </w:pPr>
      <w:r>
        <w:t>Limits and safe claims</w:t>
      </w:r>
    </w:p>
    <w:p>
      <w:pPr>
        <w:pStyle w:val="ListBullet"/>
      </w:pPr>
      <w:r>
        <w:t>Safe claim: the dashboard identifies where observed equity gaps are high or worsening and which school profiles are associated with higher risk.</w:t>
      </w:r>
    </w:p>
    <w:p>
      <w:pPr>
        <w:pStyle w:val="ListBullet"/>
      </w:pPr>
      <w:r>
        <w:t>Safe claim: the tool supports evidence-informed prioritisation of intervention categories by profile.</w:t>
      </w:r>
    </w:p>
    <w:p>
      <w:pPr>
        <w:pStyle w:val="ListBullet"/>
      </w:pPr>
      <w:r>
        <w:t>Unsafe claim: the tool identifies the exact cause of a school’s gap.</w:t>
      </w:r>
    </w:p>
    <w:p>
      <w:pPr>
        <w:pStyle w:val="ListBullet"/>
      </w:pPr>
      <w:r>
        <w:t>Unsafe claim: the recommended intervention is proven to reduce the gap for one named school.</w:t>
      </w:r>
    </w:p>
    <w:p>
      <w:pPr>
        <w:pStyle w:val="Heading1"/>
      </w:pPr>
      <w:r>
        <w:t>Project recommendation</w:t>
      </w:r>
    </w:p>
    <w:p>
      <w:pPr>
        <w:pStyle w:val="ListBullet"/>
      </w:pPr>
      <w:r>
        <w:t>Best framing: hybrid risk scoring + segmentation + recommendation logic.</w:t>
      </w:r>
    </w:p>
    <w:p>
      <w:pPr>
        <w:pStyle w:val="ListBullet"/>
      </w:pPr>
      <w:r>
        <w:t>Best scope: all years for the country story, 2022 as the core year for school profiling.</w:t>
      </w:r>
    </w:p>
    <w:p>
      <w:pPr>
        <w:pStyle w:val="ListBullet"/>
      </w:pPr>
      <w:r>
        <w:t>Most valuable next data: longitudinal outcomes, intervention implementation/outcome data, and harmonised multi-year school-context variables.</w:t>
      </w:r>
    </w:p>
    <w:p>
      <w:r>
        <w:br w:type="page"/>
      </w:r>
    </w:p>
    <w:p>
      <w:pPr>
        <w:pStyle w:val="Heading2"/>
      </w:pPr>
      <w:r>
        <w:t>Table 1. Highest latest observed SES-maths gaps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System</w:t>
            </w:r>
          </w:p>
        </w:tc>
        <w:tc>
          <w:tcPr>
            <w:tcW w:type="dxa" w:w="2484"/>
          </w:tcPr>
          <w:p>
            <w:r>
              <w:t>Latest year</w:t>
            </w:r>
          </w:p>
        </w:tc>
        <w:tc>
          <w:tcPr>
            <w:tcW w:type="dxa" w:w="2484"/>
          </w:tcPr>
          <w:p>
            <w:r>
              <w:t>Latest gap</w:t>
            </w:r>
          </w:p>
        </w:tc>
        <w:tc>
          <w:tcPr>
            <w:tcW w:type="dxa" w:w="2484"/>
          </w:tcPr>
          <w:p>
            <w:r>
              <w:t>Avg maths</w:t>
            </w:r>
          </w:p>
        </w:tc>
      </w:tr>
      <w:tr>
        <w:tc>
          <w:tcPr>
            <w:tcW w:type="dxa" w:w="2484"/>
          </w:tcPr>
          <w:p>
            <w:r>
              <w:t>ROU</w:t>
            </w:r>
          </w:p>
        </w:tc>
        <w:tc>
          <w:tcPr>
            <w:tcW w:type="dxa" w:w="2484"/>
          </w:tcPr>
          <w:p>
            <w:r>
              <w:t>2022</w:t>
            </w:r>
          </w:p>
        </w:tc>
        <w:tc>
          <w:tcPr>
            <w:tcW w:type="dxa" w:w="2484"/>
          </w:tcPr>
          <w:p>
            <w:r>
              <w:t>128.9</w:t>
            </w:r>
          </w:p>
        </w:tc>
        <w:tc>
          <w:tcPr>
            <w:tcW w:type="dxa" w:w="2484"/>
          </w:tcPr>
          <w:p>
            <w:r>
              <w:t>427.80410174654446</w:t>
            </w:r>
          </w:p>
        </w:tc>
      </w:tr>
      <w:tr>
        <w:tc>
          <w:tcPr>
            <w:tcW w:type="dxa" w:w="2484"/>
          </w:tcPr>
          <w:p>
            <w:r>
              <w:t>SVK</w:t>
            </w:r>
          </w:p>
        </w:tc>
        <w:tc>
          <w:tcPr>
            <w:tcW w:type="dxa" w:w="2484"/>
          </w:tcPr>
          <w:p>
            <w:r>
              <w:t>2022</w:t>
            </w:r>
          </w:p>
        </w:tc>
        <w:tc>
          <w:tcPr>
            <w:tcW w:type="dxa" w:w="2484"/>
          </w:tcPr>
          <w:p>
            <w:r>
              <w:t>126.2</w:t>
            </w:r>
          </w:p>
        </w:tc>
        <w:tc>
          <w:tcPr>
            <w:tcW w:type="dxa" w:w="2484"/>
          </w:tcPr>
          <w:p>
            <w:r>
              <w:t>465.0875985263927</w:t>
            </w:r>
          </w:p>
        </w:tc>
      </w:tr>
      <w:tr>
        <w:tc>
          <w:tcPr>
            <w:tcW w:type="dxa" w:w="2484"/>
          </w:tcPr>
          <w:p>
            <w:r>
              <w:t>ISR</w:t>
            </w:r>
          </w:p>
        </w:tc>
        <w:tc>
          <w:tcPr>
            <w:tcW w:type="dxa" w:w="2484"/>
          </w:tcPr>
          <w:p>
            <w:r>
              <w:t>2022</w:t>
            </w:r>
          </w:p>
        </w:tc>
        <w:tc>
          <w:tcPr>
            <w:tcW w:type="dxa" w:w="2484"/>
          </w:tcPr>
          <w:p>
            <w:r>
              <w:t>125.7</w:t>
            </w:r>
          </w:p>
        </w:tc>
        <w:tc>
          <w:tcPr>
            <w:tcW w:type="dxa" w:w="2484"/>
          </w:tcPr>
          <w:p>
            <w:r>
              <w:t>461.69438440401103</w:t>
            </w:r>
          </w:p>
        </w:tc>
      </w:tr>
      <w:tr>
        <w:tc>
          <w:tcPr>
            <w:tcW w:type="dxa" w:w="2484"/>
          </w:tcPr>
          <w:p>
            <w:r>
              <w:t>CZE</w:t>
            </w:r>
          </w:p>
        </w:tc>
        <w:tc>
          <w:tcPr>
            <w:tcW w:type="dxa" w:w="2484"/>
          </w:tcPr>
          <w:p>
            <w:r>
              <w:t>2022</w:t>
            </w:r>
          </w:p>
        </w:tc>
        <w:tc>
          <w:tcPr>
            <w:tcW w:type="dxa" w:w="2484"/>
          </w:tcPr>
          <w:p>
            <w:r>
              <w:t>123.9</w:t>
            </w:r>
          </w:p>
        </w:tc>
        <w:tc>
          <w:tcPr>
            <w:tcW w:type="dxa" w:w="2484"/>
          </w:tcPr>
          <w:p>
            <w:r>
              <w:t>486.8520490180768</w:t>
            </w:r>
          </w:p>
        </w:tc>
      </w:tr>
      <w:tr>
        <w:tc>
          <w:tcPr>
            <w:tcW w:type="dxa" w:w="2484"/>
          </w:tcPr>
          <w:p>
            <w:r>
              <w:t>TAP</w:t>
            </w:r>
          </w:p>
        </w:tc>
        <w:tc>
          <w:tcPr>
            <w:tcW w:type="dxa" w:w="2484"/>
          </w:tcPr>
          <w:p>
            <w:r>
              <w:t>2022</w:t>
            </w:r>
          </w:p>
        </w:tc>
        <w:tc>
          <w:tcPr>
            <w:tcW w:type="dxa" w:w="2484"/>
          </w:tcPr>
          <w:p>
            <w:r>
              <w:t>121.3</w:t>
            </w:r>
          </w:p>
        </w:tc>
        <w:tc>
          <w:tcPr>
            <w:tcW w:type="dxa" w:w="2484"/>
          </w:tcPr>
          <w:p>
            <w:r>
              <w:t>528.7057187120915</w:t>
            </w:r>
          </w:p>
        </w:tc>
      </w:tr>
    </w:tbl>
    <w:p/>
    <w:p>
      <w:pPr>
        <w:pStyle w:val="Heading2"/>
      </w:pPr>
      <w:r>
        <w:t>Table 2. Largest worsening systems with strong trend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System</w:t>
            </w:r>
          </w:p>
        </w:tc>
        <w:tc>
          <w:tcPr>
            <w:tcW w:type="dxa" w:w="1987"/>
          </w:tcPr>
          <w:p>
            <w:r>
              <w:t>First year</w:t>
            </w:r>
          </w:p>
        </w:tc>
        <w:tc>
          <w:tcPr>
            <w:tcW w:type="dxa" w:w="1987"/>
          </w:tcPr>
          <w:p>
            <w:r>
              <w:t>Last year</w:t>
            </w:r>
          </w:p>
        </w:tc>
        <w:tc>
          <w:tcPr>
            <w:tcW w:type="dxa" w:w="1987"/>
          </w:tcPr>
          <w:p>
            <w:r>
              <w:t>Gap change</w:t>
            </w:r>
          </w:p>
        </w:tc>
        <w:tc>
          <w:tcPr>
            <w:tcW w:type="dxa" w:w="1987"/>
          </w:tcPr>
          <w:p>
            <w:r>
              <w:t>Latest gap</w:t>
            </w:r>
          </w:p>
        </w:tc>
      </w:tr>
      <w:tr>
        <w:tc>
          <w:tcPr>
            <w:tcW w:type="dxa" w:w="1987"/>
          </w:tcPr>
          <w:p>
            <w:r>
              <w:t>ROU</w:t>
            </w:r>
          </w:p>
        </w:tc>
        <w:tc>
          <w:tcPr>
            <w:tcW w:type="dxa" w:w="1987"/>
          </w:tcPr>
          <w:p>
            <w:r>
              <w:t>2009</w:t>
            </w:r>
          </w:p>
        </w:tc>
        <w:tc>
          <w:tcPr>
            <w:tcW w:type="dxa" w:w="1987"/>
          </w:tcPr>
          <w:p>
            <w:r>
              <w:t>2022</w:t>
            </w:r>
          </w:p>
        </w:tc>
        <w:tc>
          <w:tcPr>
            <w:tcW w:type="dxa" w:w="1987"/>
          </w:tcPr>
          <w:p>
            <w:r>
              <w:t>57.5</w:t>
            </w:r>
          </w:p>
        </w:tc>
        <w:tc>
          <w:tcPr>
            <w:tcW w:type="dxa" w:w="1987"/>
          </w:tcPr>
          <w:p>
            <w:r>
              <w:t>128.9</w:t>
            </w:r>
          </w:p>
        </w:tc>
      </w:tr>
      <w:tr>
        <w:tc>
          <w:tcPr>
            <w:tcW w:type="dxa" w:w="1987"/>
          </w:tcPr>
          <w:p>
            <w:r>
              <w:t>ITA</w:t>
            </w:r>
          </w:p>
        </w:tc>
        <w:tc>
          <w:tcPr>
            <w:tcW w:type="dxa" w:w="1987"/>
          </w:tcPr>
          <w:p>
            <w:r>
              <w:t>2009</w:t>
            </w:r>
          </w:p>
        </w:tc>
        <w:tc>
          <w:tcPr>
            <w:tcW w:type="dxa" w:w="1987"/>
          </w:tcPr>
          <w:p>
            <w:r>
              <w:t>2022</w:t>
            </w:r>
          </w:p>
        </w:tc>
        <w:tc>
          <w:tcPr>
            <w:tcW w:type="dxa" w:w="1987"/>
          </w:tcPr>
          <w:p>
            <w:r>
              <w:t>45.0</w:t>
            </w:r>
          </w:p>
        </w:tc>
        <w:tc>
          <w:tcPr>
            <w:tcW w:type="dxa" w:w="1987"/>
          </w:tcPr>
          <w:p>
            <w:r>
              <w:t>85.3</w:t>
            </w:r>
          </w:p>
        </w:tc>
      </w:tr>
      <w:tr>
        <w:tc>
          <w:tcPr>
            <w:tcW w:type="dxa" w:w="1987"/>
          </w:tcPr>
          <w:p>
            <w:r>
              <w:t>CZE</w:t>
            </w:r>
          </w:p>
        </w:tc>
        <w:tc>
          <w:tcPr>
            <w:tcW w:type="dxa" w:w="1987"/>
          </w:tcPr>
          <w:p>
            <w:r>
              <w:t>2009</w:t>
            </w:r>
          </w:p>
        </w:tc>
        <w:tc>
          <w:tcPr>
            <w:tcW w:type="dxa" w:w="1987"/>
          </w:tcPr>
          <w:p>
            <w:r>
              <w:t>2022</w:t>
            </w:r>
          </w:p>
        </w:tc>
        <w:tc>
          <w:tcPr>
            <w:tcW w:type="dxa" w:w="1987"/>
          </w:tcPr>
          <w:p>
            <w:r>
              <w:t>40.9</w:t>
            </w:r>
          </w:p>
        </w:tc>
        <w:tc>
          <w:tcPr>
            <w:tcW w:type="dxa" w:w="1987"/>
          </w:tcPr>
          <w:p>
            <w:r>
              <w:t>123.9</w:t>
            </w:r>
          </w:p>
        </w:tc>
      </w:tr>
      <w:tr>
        <w:tc>
          <w:tcPr>
            <w:tcW w:type="dxa" w:w="1987"/>
          </w:tcPr>
          <w:p>
            <w:r>
              <w:t>FIN</w:t>
            </w:r>
          </w:p>
        </w:tc>
        <w:tc>
          <w:tcPr>
            <w:tcW w:type="dxa" w:w="1987"/>
          </w:tcPr>
          <w:p>
            <w:r>
              <w:t>2009</w:t>
            </w:r>
          </w:p>
        </w:tc>
        <w:tc>
          <w:tcPr>
            <w:tcW w:type="dxa" w:w="1987"/>
          </w:tcPr>
          <w:p>
            <w:r>
              <w:t>2022</w:t>
            </w:r>
          </w:p>
        </w:tc>
        <w:tc>
          <w:tcPr>
            <w:tcW w:type="dxa" w:w="1987"/>
          </w:tcPr>
          <w:p>
            <w:r>
              <w:t>38.7</w:t>
            </w:r>
          </w:p>
        </w:tc>
        <w:tc>
          <w:tcPr>
            <w:tcW w:type="dxa" w:w="1987"/>
          </w:tcPr>
          <w:p>
            <w:r>
              <w:t>88.2</w:t>
            </w:r>
          </w:p>
        </w:tc>
      </w:tr>
      <w:tr>
        <w:tc>
          <w:tcPr>
            <w:tcW w:type="dxa" w:w="1987"/>
          </w:tcPr>
          <w:p>
            <w:r>
              <w:t>ISR</w:t>
            </w:r>
          </w:p>
        </w:tc>
        <w:tc>
          <w:tcPr>
            <w:tcW w:type="dxa" w:w="1987"/>
          </w:tcPr>
          <w:p>
            <w:r>
              <w:t>2009</w:t>
            </w:r>
          </w:p>
        </w:tc>
        <w:tc>
          <w:tcPr>
            <w:tcW w:type="dxa" w:w="1987"/>
          </w:tcPr>
          <w:p>
            <w:r>
              <w:t>2022</w:t>
            </w:r>
          </w:p>
        </w:tc>
        <w:tc>
          <w:tcPr>
            <w:tcW w:type="dxa" w:w="1987"/>
          </w:tcPr>
          <w:p>
            <w:r>
              <w:t>38.6</w:t>
            </w:r>
          </w:p>
        </w:tc>
        <w:tc>
          <w:tcPr>
            <w:tcW w:type="dxa" w:w="1987"/>
          </w:tcPr>
          <w:p>
            <w:r>
              <w:t>125.7</w:t>
            </w:r>
          </w:p>
        </w:tc>
      </w:tr>
    </w:tbl>
    <w:p/>
    <w:p>
      <w:pPr>
        <w:pStyle w:val="Heading2"/>
      </w:pPr>
      <w:r>
        <w:t>Table 3. Published school segments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987"/>
          </w:tcPr>
          <w:p>
            <w:r>
              <w:t>Segment</w:t>
            </w:r>
          </w:p>
        </w:tc>
        <w:tc>
          <w:tcPr>
            <w:tcW w:type="dxa" w:w="1987"/>
          </w:tcPr>
          <w:p>
            <w:r>
              <w:t>Schools</w:t>
            </w:r>
          </w:p>
        </w:tc>
        <w:tc>
          <w:tcPr>
            <w:tcW w:type="dxa" w:w="1987"/>
          </w:tcPr>
          <w:p>
            <w:r>
              <w:t>Mean maths</w:t>
            </w:r>
          </w:p>
        </w:tc>
        <w:tc>
          <w:tcPr>
            <w:tcW w:type="dxa" w:w="1987"/>
          </w:tcPr>
          <w:p>
            <w:r>
              <w:t>Within-school gap</w:t>
            </w:r>
          </w:p>
        </w:tc>
        <w:tc>
          <w:tcPr>
            <w:tcW w:type="dxa" w:w="1987"/>
          </w:tcPr>
          <w:p>
            <w:r>
              <w:t>Risk score</w:t>
            </w:r>
          </w:p>
        </w:tc>
      </w:tr>
      <w:tr>
        <w:tc>
          <w:tcPr>
            <w:tcW w:type="dxa" w:w="1987"/>
          </w:tcPr>
          <w:p>
            <w:r>
              <w:t>High-achievement unequal schools</w:t>
            </w:r>
          </w:p>
        </w:tc>
        <w:tc>
          <w:tcPr>
            <w:tcW w:type="dxa" w:w="1987"/>
          </w:tcPr>
          <w:p>
            <w:r>
              <w:t>4676</w:t>
            </w:r>
          </w:p>
        </w:tc>
        <w:tc>
          <w:tcPr>
            <w:tcW w:type="dxa" w:w="1987"/>
          </w:tcPr>
          <w:p>
            <w:r>
              <w:t>501.9</w:t>
            </w:r>
          </w:p>
        </w:tc>
        <w:tc>
          <w:tcPr>
            <w:tcW w:type="dxa" w:w="1987"/>
          </w:tcPr>
          <w:p>
            <w:r>
              <w:t>69.6</w:t>
            </w:r>
          </w:p>
        </w:tc>
        <w:tc>
          <w:tcPr>
            <w:tcW w:type="dxa" w:w="1987"/>
          </w:tcPr>
          <w:p>
            <w:r>
              <w:t>59.6</w:t>
            </w:r>
          </w:p>
        </w:tc>
      </w:tr>
      <w:tr>
        <w:tc>
          <w:tcPr>
            <w:tcW w:type="dxa" w:w="1987"/>
          </w:tcPr>
          <w:p>
            <w:r>
              <w:t>Resilient equitable performers</w:t>
            </w:r>
          </w:p>
        </w:tc>
        <w:tc>
          <w:tcPr>
            <w:tcW w:type="dxa" w:w="1987"/>
          </w:tcPr>
          <w:p>
            <w:r>
              <w:t>3055</w:t>
            </w:r>
          </w:p>
        </w:tc>
        <w:tc>
          <w:tcPr>
            <w:tcW w:type="dxa" w:w="1987"/>
          </w:tcPr>
          <w:p>
            <w:r>
              <w:t>511.6</w:t>
            </w:r>
          </w:p>
        </w:tc>
        <w:tc>
          <w:tcPr>
            <w:tcW w:type="dxa" w:w="1987"/>
          </w:tcPr>
          <w:p>
            <w:r>
              <w:t>0.8</w:t>
            </w:r>
          </w:p>
        </w:tc>
        <w:tc>
          <w:tcPr>
            <w:tcW w:type="dxa" w:w="1987"/>
          </w:tcPr>
          <w:p>
            <w:r>
              <w:t>56.4</w:t>
            </w:r>
          </w:p>
        </w:tc>
      </w:tr>
      <w:tr>
        <w:tc>
          <w:tcPr>
            <w:tcW w:type="dxa" w:w="1987"/>
          </w:tcPr>
          <w:p>
            <w:r>
              <w:t>Strained high-inequality schools</w:t>
            </w:r>
          </w:p>
        </w:tc>
        <w:tc>
          <w:tcPr>
            <w:tcW w:type="dxa" w:w="1987"/>
          </w:tcPr>
          <w:p>
            <w:r>
              <w:t>2152</w:t>
            </w:r>
          </w:p>
        </w:tc>
        <w:tc>
          <w:tcPr>
            <w:tcW w:type="dxa" w:w="1987"/>
          </w:tcPr>
          <w:p>
            <w:r>
              <w:t>396.0</w:t>
            </w:r>
          </w:p>
        </w:tc>
        <w:tc>
          <w:tcPr>
            <w:tcW w:type="dxa" w:w="1987"/>
          </w:tcPr>
          <w:p>
            <w:r>
              <w:t>55.9</w:t>
            </w:r>
          </w:p>
        </w:tc>
        <w:tc>
          <w:tcPr>
            <w:tcW w:type="dxa" w:w="1987"/>
          </w:tcPr>
          <w:p>
            <w:r>
              <w:t>52.1</w:t>
            </w:r>
          </w:p>
        </w:tc>
      </w:tr>
      <w:tr>
        <w:tc>
          <w:tcPr>
            <w:tcW w:type="dxa" w:w="1987"/>
          </w:tcPr>
          <w:p>
            <w:r>
              <w:t>Low-achievement broad support need</w:t>
            </w:r>
          </w:p>
        </w:tc>
        <w:tc>
          <w:tcPr>
            <w:tcW w:type="dxa" w:w="1987"/>
          </w:tcPr>
          <w:p>
            <w:r>
              <w:t>4676</w:t>
            </w:r>
          </w:p>
        </w:tc>
        <w:tc>
          <w:tcPr>
            <w:tcW w:type="dxa" w:w="1987"/>
          </w:tcPr>
          <w:p>
            <w:r>
              <w:t>375.3</w:t>
            </w:r>
          </w:p>
        </w:tc>
        <w:tc>
          <w:tcPr>
            <w:tcW w:type="dxa" w:w="1987"/>
          </w:tcPr>
          <w:p>
            <w:r>
              <w:t>-0.2</w:t>
            </w:r>
          </w:p>
        </w:tc>
        <w:tc>
          <w:tcPr>
            <w:tcW w:type="dxa" w:w="1987"/>
          </w:tcPr>
          <w:p>
            <w:r>
              <w:t>41.8</w:t>
            </w:r>
          </w:p>
        </w:tc>
      </w:tr>
      <w:tr>
        <w:tc>
          <w:tcPr>
            <w:tcW w:type="dxa" w:w="1987"/>
          </w:tcPr>
          <w:p>
            <w:r>
              <w:t>Mixed profile</w:t>
            </w:r>
          </w:p>
        </w:tc>
        <w:tc>
          <w:tcPr>
            <w:tcW w:type="dxa" w:w="1987"/>
          </w:tcPr>
          <w:p>
            <w:r>
              <w:t>573</w:t>
            </w:r>
          </w:p>
        </w:tc>
        <w:tc>
          <w:tcPr>
            <w:tcW w:type="dxa" w:w="1987"/>
          </w:tcPr>
          <w:p>
            <w:r>
              <w:t>393.4</w:t>
            </w:r>
          </w:p>
        </w:tc>
        <w:tc>
          <w:tcPr>
            <w:tcW w:type="dxa" w:w="1987"/>
          </w:tcPr>
          <w:p>
            <w:r>
              <w:t>51.7</w:t>
            </w:r>
          </w:p>
        </w:tc>
        <w:tc>
          <w:tcPr>
            <w:tcW w:type="dxa" w:w="1987"/>
          </w:tcPr>
          <w:p>
            <w:r>
              <w:t>34.0</w:t>
            </w:r>
          </w:p>
        </w:tc>
      </w:tr>
      <w:tr>
        <w:tc>
          <w:tcPr>
            <w:tcW w:type="dxa" w:w="1987"/>
          </w:tcPr>
          <w:p>
            <w:r>
              <w:t>Digitally constrained schools</w:t>
            </w:r>
          </w:p>
        </w:tc>
        <w:tc>
          <w:tcPr>
            <w:tcW w:type="dxa" w:w="1987"/>
          </w:tcPr>
          <w:p>
            <w:r>
              <w:t>330</w:t>
            </w:r>
          </w:p>
        </w:tc>
        <w:tc>
          <w:tcPr>
            <w:tcW w:type="dxa" w:w="1987"/>
          </w:tcPr>
          <w:p>
            <w:r>
              <w:t>382.9</w:t>
            </w:r>
          </w:p>
        </w:tc>
        <w:tc>
          <w:tcPr>
            <w:tcW w:type="dxa" w:w="1987"/>
          </w:tcPr>
          <w:p>
            <w:r>
              <w:t>50.0</w:t>
            </w:r>
          </w:p>
        </w:tc>
        <w:tc>
          <w:tcPr>
            <w:tcW w:type="dxa" w:w="1987"/>
          </w:tcPr>
          <w:p>
            <w:r>
              <w:t>30.5</w:t>
            </w:r>
          </w:p>
        </w:tc>
      </w:tr>
    </w:tbl>
    <w:p/>
    <w:p>
      <w:pPr>
        <w:pStyle w:val="Heading1"/>
      </w:pPr>
      <w:r>
        <w:t>Method note</w:t>
      </w:r>
    </w:p>
    <w:p>
      <w:r>
        <w:t>This executive summary is generated directly from the completed analysis outputs in the local repository. It summarises the strongest evidence-backed results and the final product recommendation in concise form.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