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0765D" w14:textId="56A95245" w:rsidR="000C560A" w:rsidRDefault="005D2AC4" w:rsidP="005D2AC4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D2AC4">
        <w:rPr>
          <w:rFonts w:ascii="Times New Roman" w:hAnsi="Times New Roman" w:cs="Times New Roman"/>
          <w:b/>
          <w:bCs/>
          <w:sz w:val="32"/>
          <w:szCs w:val="32"/>
        </w:rPr>
        <w:t>Insurance Risk &amp; Claims Analysis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- </w:t>
      </w:r>
      <w:r w:rsidRPr="005D2AC4">
        <w:rPr>
          <w:rFonts w:ascii="Times New Roman" w:hAnsi="Times New Roman" w:cs="Times New Roman"/>
          <w:b/>
          <w:bCs/>
          <w:sz w:val="32"/>
          <w:szCs w:val="32"/>
        </w:rPr>
        <w:t xml:space="preserve">Business </w:t>
      </w:r>
      <w:r>
        <w:rPr>
          <w:rFonts w:ascii="Times New Roman" w:hAnsi="Times New Roman" w:cs="Times New Roman"/>
          <w:b/>
          <w:bCs/>
          <w:sz w:val="32"/>
          <w:szCs w:val="32"/>
        </w:rPr>
        <w:t>Objective</w:t>
      </w:r>
    </w:p>
    <w:p w14:paraId="4E65EC14" w14:textId="77777777" w:rsidR="005D2AC4" w:rsidRPr="005D2AC4" w:rsidRDefault="005D2AC4" w:rsidP="005D2AC4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</w:p>
    <w:p w14:paraId="30773BB8" w14:textId="77777777" w:rsidR="005D2AC4" w:rsidRPr="005D2AC4" w:rsidRDefault="005D2AC4" w:rsidP="005D2AC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2AC4">
        <w:rPr>
          <w:rFonts w:ascii="Times New Roman" w:hAnsi="Times New Roman" w:cs="Times New Roman"/>
          <w:sz w:val="24"/>
          <w:szCs w:val="24"/>
        </w:rPr>
        <w:t>An insurance firm aims to gain deeper insights into its customer portfolio and claim trends to support smarter, data-driven strategies. At present, information on policies and claims exists across multiple, unconnected sources — making it challenging for decision-makers to monitor performance or detect emerging trends.</w:t>
      </w:r>
    </w:p>
    <w:p w14:paraId="693AD77C" w14:textId="77777777" w:rsidR="005D2AC4" w:rsidRPr="005D2AC4" w:rsidRDefault="005D2AC4" w:rsidP="005D2AC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2AC4">
        <w:rPr>
          <w:rFonts w:ascii="Times New Roman" w:hAnsi="Times New Roman" w:cs="Times New Roman"/>
          <w:sz w:val="24"/>
          <w:szCs w:val="24"/>
        </w:rPr>
        <w:t xml:space="preserve">To overcome this, the company needs a </w:t>
      </w:r>
      <w:r w:rsidRPr="005D2AC4">
        <w:rPr>
          <w:rFonts w:ascii="Times New Roman" w:hAnsi="Times New Roman" w:cs="Times New Roman"/>
          <w:b/>
          <w:bCs/>
          <w:sz w:val="24"/>
          <w:szCs w:val="24"/>
        </w:rPr>
        <w:t>centralized, interactive Power BI dashboard</w:t>
      </w:r>
      <w:r w:rsidRPr="005D2AC4">
        <w:rPr>
          <w:rFonts w:ascii="Times New Roman" w:hAnsi="Times New Roman" w:cs="Times New Roman"/>
          <w:sz w:val="24"/>
          <w:szCs w:val="24"/>
        </w:rPr>
        <w:t xml:space="preserve"> that offers a clear and actionable view of key business metrics.</w:t>
      </w:r>
    </w:p>
    <w:p w14:paraId="4F8E070D" w14:textId="77777777" w:rsidR="000C560A" w:rsidRPr="005D2AC4" w:rsidRDefault="000C560A" w:rsidP="005D2AC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2216D3" w14:textId="3F2D2257" w:rsidR="000C560A" w:rsidRPr="005D2AC4" w:rsidRDefault="000C560A" w:rsidP="005D2AC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D2AC4">
        <w:rPr>
          <w:rFonts w:ascii="Times New Roman" w:hAnsi="Times New Roman" w:cs="Times New Roman"/>
          <w:b/>
          <w:bCs/>
          <w:sz w:val="28"/>
          <w:szCs w:val="28"/>
          <w:u w:val="single"/>
        </w:rPr>
        <w:t>KPI’s Requirements:</w:t>
      </w:r>
    </w:p>
    <w:p w14:paraId="193F6575" w14:textId="39868E14" w:rsidR="005D2AC4" w:rsidRPr="005D2AC4" w:rsidRDefault="005D2AC4" w:rsidP="005D2AC4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2AC4">
        <w:rPr>
          <w:rFonts w:ascii="Times New Roman" w:hAnsi="Times New Roman" w:cs="Times New Roman"/>
          <w:b/>
          <w:bCs/>
          <w:sz w:val="24"/>
          <w:szCs w:val="24"/>
        </w:rPr>
        <w:t xml:space="preserve">Total Policies – </w:t>
      </w:r>
      <w:r w:rsidRPr="005D2AC4">
        <w:rPr>
          <w:rFonts w:ascii="Times New Roman" w:hAnsi="Times New Roman" w:cs="Times New Roman"/>
          <w:sz w:val="24"/>
          <w:szCs w:val="24"/>
        </w:rPr>
        <w:t>Represents the size of the current active customer base.</w:t>
      </w:r>
    </w:p>
    <w:p w14:paraId="3023E663" w14:textId="292CD8F8" w:rsidR="005D2AC4" w:rsidRPr="005D2AC4" w:rsidRDefault="005D2AC4" w:rsidP="005D2AC4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2AC4">
        <w:rPr>
          <w:rFonts w:ascii="Times New Roman" w:hAnsi="Times New Roman" w:cs="Times New Roman"/>
          <w:b/>
          <w:bCs/>
          <w:sz w:val="24"/>
          <w:szCs w:val="24"/>
        </w:rPr>
        <w:t xml:space="preserve">Total Claim Amount – </w:t>
      </w:r>
      <w:r w:rsidRPr="005D2AC4">
        <w:rPr>
          <w:rFonts w:ascii="Times New Roman" w:hAnsi="Times New Roman" w:cs="Times New Roman"/>
          <w:sz w:val="24"/>
          <w:szCs w:val="24"/>
        </w:rPr>
        <w:t>Measures the total financial impact of all claims.</w:t>
      </w:r>
    </w:p>
    <w:p w14:paraId="6C4A363C" w14:textId="1B42816C" w:rsidR="005D2AC4" w:rsidRPr="005D2AC4" w:rsidRDefault="005D2AC4" w:rsidP="005D2AC4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2AC4">
        <w:rPr>
          <w:rFonts w:ascii="Times New Roman" w:hAnsi="Times New Roman" w:cs="Times New Roman"/>
          <w:b/>
          <w:bCs/>
          <w:sz w:val="24"/>
          <w:szCs w:val="24"/>
        </w:rPr>
        <w:t xml:space="preserve">Claim Frequency – </w:t>
      </w:r>
      <w:r w:rsidRPr="005D2AC4">
        <w:rPr>
          <w:rFonts w:ascii="Times New Roman" w:hAnsi="Times New Roman" w:cs="Times New Roman"/>
          <w:sz w:val="24"/>
          <w:szCs w:val="24"/>
        </w:rPr>
        <w:t>Indicates how frequently claims are raised.</w:t>
      </w:r>
    </w:p>
    <w:p w14:paraId="760F8691" w14:textId="14F7E9A5" w:rsidR="005D2AC4" w:rsidRPr="005D2AC4" w:rsidRDefault="005D2AC4" w:rsidP="005D2AC4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2AC4">
        <w:rPr>
          <w:rFonts w:ascii="Times New Roman" w:hAnsi="Times New Roman" w:cs="Times New Roman"/>
          <w:b/>
          <w:bCs/>
          <w:sz w:val="24"/>
          <w:szCs w:val="24"/>
        </w:rPr>
        <w:t xml:space="preserve">Average Claim Amount – </w:t>
      </w:r>
      <w:r w:rsidRPr="005D2AC4">
        <w:rPr>
          <w:rFonts w:ascii="Times New Roman" w:hAnsi="Times New Roman" w:cs="Times New Roman"/>
          <w:sz w:val="24"/>
          <w:szCs w:val="24"/>
        </w:rPr>
        <w:t>Reflects the average severity of claims and potential exposure to risk.</w:t>
      </w:r>
    </w:p>
    <w:p w14:paraId="4CAA62BC" w14:textId="168D85BA" w:rsidR="005D2AC4" w:rsidRPr="005D2AC4" w:rsidRDefault="005D2AC4" w:rsidP="005D2AC4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2AC4">
        <w:rPr>
          <w:rFonts w:ascii="Times New Roman" w:hAnsi="Times New Roman" w:cs="Times New Roman"/>
          <w:b/>
          <w:bCs/>
          <w:sz w:val="24"/>
          <w:szCs w:val="24"/>
        </w:rPr>
        <w:t xml:space="preserve">Gender-wise Total Policies – </w:t>
      </w:r>
      <w:r w:rsidRPr="005D2AC4">
        <w:rPr>
          <w:rFonts w:ascii="Times New Roman" w:hAnsi="Times New Roman" w:cs="Times New Roman"/>
          <w:sz w:val="24"/>
          <w:szCs w:val="24"/>
        </w:rPr>
        <w:t>Displays customer segmentation by gender for targeted policy analysis.</w:t>
      </w:r>
    </w:p>
    <w:p w14:paraId="7FD43B3A" w14:textId="77777777" w:rsidR="000C560A" w:rsidRPr="005D2AC4" w:rsidRDefault="000C560A" w:rsidP="005D2AC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608ECDB" w14:textId="15BC4FFE" w:rsidR="000C560A" w:rsidRPr="005D2AC4" w:rsidRDefault="000C560A" w:rsidP="005D2AC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D2AC4">
        <w:rPr>
          <w:rFonts w:ascii="Times New Roman" w:hAnsi="Times New Roman" w:cs="Times New Roman"/>
          <w:b/>
          <w:bCs/>
          <w:sz w:val="28"/>
          <w:szCs w:val="28"/>
          <w:u w:val="single"/>
        </w:rPr>
        <w:t>Chart’s Requirements:</w:t>
      </w:r>
    </w:p>
    <w:p w14:paraId="793975EF" w14:textId="77777777" w:rsidR="005D2AC4" w:rsidRPr="005D2AC4" w:rsidRDefault="005D2AC4" w:rsidP="005D2AC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D2AC4">
        <w:rPr>
          <w:rFonts w:ascii="Times New Roman" w:hAnsi="Times New Roman" w:cs="Times New Roman"/>
          <w:sz w:val="24"/>
          <w:szCs w:val="24"/>
        </w:rPr>
        <w:t xml:space="preserve">To move beyond summary KPIs, the dashboard should include detailed visual analyses that uncover trends, relationships, and outliers across demographics, vehicle details, and claim </w:t>
      </w:r>
      <w:proofErr w:type="spellStart"/>
      <w:r w:rsidRPr="005D2AC4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5D2AC4">
        <w:rPr>
          <w:rFonts w:ascii="Times New Roman" w:hAnsi="Times New Roman" w:cs="Times New Roman"/>
          <w:sz w:val="24"/>
          <w:szCs w:val="24"/>
        </w:rPr>
        <w:t>.</w:t>
      </w:r>
      <w:r w:rsidRPr="005D2AC4">
        <w:rPr>
          <w:rFonts w:ascii="Times New Roman" w:hAnsi="Times New Roman" w:cs="Times New Roman"/>
          <w:sz w:val="24"/>
          <w:szCs w:val="24"/>
        </w:rPr>
        <w:br/>
        <w:t>These visual insights help business leaders recognize risk drivers, understand customer groups, and make informed policy adjustments.</w:t>
      </w:r>
    </w:p>
    <w:p w14:paraId="2C6E51E1" w14:textId="77777777" w:rsidR="005D2AC4" w:rsidRPr="005D2AC4" w:rsidRDefault="005D2AC4" w:rsidP="005D2AC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D2AC4">
        <w:rPr>
          <w:rFonts w:ascii="Times New Roman" w:hAnsi="Times New Roman" w:cs="Times New Roman"/>
          <w:sz w:val="24"/>
          <w:szCs w:val="24"/>
        </w:rPr>
        <w:t>Two dynamic measures will form the analytical foundation of the dashboard:</w:t>
      </w:r>
    </w:p>
    <w:p w14:paraId="1F47E88D" w14:textId="77777777" w:rsidR="005D2AC4" w:rsidRPr="005D2AC4" w:rsidRDefault="005D2AC4" w:rsidP="005D2AC4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D2AC4">
        <w:rPr>
          <w:rFonts w:ascii="Times New Roman" w:hAnsi="Times New Roman" w:cs="Times New Roman"/>
          <w:b/>
          <w:bCs/>
          <w:sz w:val="24"/>
          <w:szCs w:val="24"/>
        </w:rPr>
        <w:t>Total Claim Amount</w:t>
      </w:r>
    </w:p>
    <w:p w14:paraId="24B12B76" w14:textId="77777777" w:rsidR="005D2AC4" w:rsidRPr="005D2AC4" w:rsidRDefault="005D2AC4" w:rsidP="005D2AC4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D2AC4">
        <w:rPr>
          <w:rFonts w:ascii="Times New Roman" w:hAnsi="Times New Roman" w:cs="Times New Roman"/>
          <w:b/>
          <w:bCs/>
          <w:sz w:val="24"/>
          <w:szCs w:val="24"/>
        </w:rPr>
        <w:t>Total Policies</w:t>
      </w:r>
    </w:p>
    <w:p w14:paraId="3BDD1739" w14:textId="77777777" w:rsidR="005D2AC4" w:rsidRPr="005D2AC4" w:rsidRDefault="005D2AC4" w:rsidP="005D2AC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D2AC4">
        <w:rPr>
          <w:rFonts w:ascii="Times New Roman" w:hAnsi="Times New Roman" w:cs="Times New Roman"/>
          <w:sz w:val="24"/>
          <w:szCs w:val="24"/>
        </w:rPr>
        <w:t xml:space="preserve">These core measures will allow stakeholders to </w:t>
      </w:r>
      <w:r w:rsidRPr="005D2AC4">
        <w:rPr>
          <w:rFonts w:ascii="Times New Roman" w:hAnsi="Times New Roman" w:cs="Times New Roman"/>
          <w:b/>
          <w:bCs/>
          <w:sz w:val="24"/>
          <w:szCs w:val="24"/>
        </w:rPr>
        <w:t>filter, compare, and segment</w:t>
      </w:r>
      <w:r w:rsidRPr="005D2AC4">
        <w:rPr>
          <w:rFonts w:ascii="Times New Roman" w:hAnsi="Times New Roman" w:cs="Times New Roman"/>
          <w:sz w:val="24"/>
          <w:szCs w:val="24"/>
        </w:rPr>
        <w:t xml:space="preserve"> data effectively across multiple dimensions</w:t>
      </w:r>
    </w:p>
    <w:p w14:paraId="29F7CDBE" w14:textId="77777777" w:rsidR="005D2AC4" w:rsidRDefault="005D2AC4" w:rsidP="005D2AC4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AF71081" w14:textId="371E8C44" w:rsidR="000C560A" w:rsidRPr="005D2AC4" w:rsidRDefault="000C560A" w:rsidP="005D2AC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D2AC4">
        <w:rPr>
          <w:rFonts w:ascii="Times New Roman" w:hAnsi="Times New Roman" w:cs="Times New Roman"/>
          <w:b/>
          <w:bCs/>
          <w:sz w:val="24"/>
          <w:szCs w:val="24"/>
        </w:rPr>
        <w:t>Visualization Requirements:</w:t>
      </w:r>
    </w:p>
    <w:p w14:paraId="2C2BB50B" w14:textId="77777777" w:rsidR="005D2AC4" w:rsidRPr="005D2AC4" w:rsidRDefault="005D2AC4" w:rsidP="005D2AC4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D2AC4">
        <w:rPr>
          <w:rFonts w:ascii="Times New Roman" w:hAnsi="Times New Roman" w:cs="Times New Roman"/>
          <w:b/>
          <w:bCs/>
          <w:sz w:val="24"/>
          <w:szCs w:val="24"/>
        </w:rPr>
        <w:t xml:space="preserve">Car Use (Donut Chart) – </w:t>
      </w:r>
      <w:r w:rsidRPr="005D2AC4">
        <w:rPr>
          <w:rFonts w:ascii="Times New Roman" w:hAnsi="Times New Roman" w:cs="Times New Roman"/>
          <w:sz w:val="24"/>
          <w:szCs w:val="24"/>
        </w:rPr>
        <w:t>Breaks down policy and claim data based on vehicle usage (e.g., personal vs. commercial).</w:t>
      </w:r>
    </w:p>
    <w:p w14:paraId="23CD43E9" w14:textId="77777777" w:rsidR="005D2AC4" w:rsidRPr="005D2AC4" w:rsidRDefault="005D2AC4" w:rsidP="005D2AC4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D2AC4">
        <w:rPr>
          <w:rFonts w:ascii="Times New Roman" w:hAnsi="Times New Roman" w:cs="Times New Roman"/>
          <w:b/>
          <w:bCs/>
          <w:sz w:val="24"/>
          <w:szCs w:val="24"/>
        </w:rPr>
        <w:t xml:space="preserve">Car Make (Bar Chart) – </w:t>
      </w:r>
      <w:r w:rsidRPr="005D2AC4">
        <w:rPr>
          <w:rFonts w:ascii="Times New Roman" w:hAnsi="Times New Roman" w:cs="Times New Roman"/>
          <w:sz w:val="24"/>
          <w:szCs w:val="24"/>
        </w:rPr>
        <w:t>Highlights which car brands are most associated with higher policy counts or claim values, identifying brand-level risks.</w:t>
      </w:r>
    </w:p>
    <w:p w14:paraId="14B2FE1D" w14:textId="05F6E6DE" w:rsidR="005D2AC4" w:rsidRPr="005D2AC4" w:rsidRDefault="005D2AC4" w:rsidP="005D2AC4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D2AC4">
        <w:rPr>
          <w:rFonts w:ascii="Times New Roman" w:hAnsi="Times New Roman" w:cs="Times New Roman"/>
          <w:b/>
          <w:bCs/>
          <w:sz w:val="24"/>
          <w:szCs w:val="24"/>
        </w:rPr>
        <w:t xml:space="preserve">Coverage Zone (Donut Chart) – </w:t>
      </w:r>
      <w:r w:rsidRPr="005D2AC4">
        <w:rPr>
          <w:rFonts w:ascii="Times New Roman" w:hAnsi="Times New Roman" w:cs="Times New Roman"/>
          <w:sz w:val="24"/>
          <w:szCs w:val="24"/>
        </w:rPr>
        <w:t>Analyses</w:t>
      </w:r>
      <w:r w:rsidRPr="005D2AC4">
        <w:rPr>
          <w:rFonts w:ascii="Times New Roman" w:hAnsi="Times New Roman" w:cs="Times New Roman"/>
          <w:sz w:val="24"/>
          <w:szCs w:val="24"/>
        </w:rPr>
        <w:t xml:space="preserve"> policy and claim distribution across different geographic zones to support regional risk assessment.</w:t>
      </w:r>
    </w:p>
    <w:p w14:paraId="31CB686A" w14:textId="77777777" w:rsidR="005D2AC4" w:rsidRPr="005D2AC4" w:rsidRDefault="005D2AC4" w:rsidP="005D2AC4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D2AC4">
        <w:rPr>
          <w:rFonts w:ascii="Times New Roman" w:hAnsi="Times New Roman" w:cs="Times New Roman"/>
          <w:b/>
          <w:bCs/>
          <w:sz w:val="24"/>
          <w:szCs w:val="24"/>
        </w:rPr>
        <w:t xml:space="preserve">Age Group (Histogram) – </w:t>
      </w:r>
      <w:r w:rsidRPr="005D2AC4">
        <w:rPr>
          <w:rFonts w:ascii="Times New Roman" w:hAnsi="Times New Roman" w:cs="Times New Roman"/>
          <w:sz w:val="24"/>
          <w:szCs w:val="24"/>
        </w:rPr>
        <w:t>Shows how policyholders are distributed across age ranges and which age brackets submit more claims.</w:t>
      </w:r>
    </w:p>
    <w:p w14:paraId="63718817" w14:textId="77777777" w:rsidR="005D2AC4" w:rsidRPr="005D2AC4" w:rsidRDefault="005D2AC4" w:rsidP="005D2AC4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D2AC4">
        <w:rPr>
          <w:rFonts w:ascii="Times New Roman" w:hAnsi="Times New Roman" w:cs="Times New Roman"/>
          <w:b/>
          <w:bCs/>
          <w:sz w:val="24"/>
          <w:szCs w:val="24"/>
        </w:rPr>
        <w:t xml:space="preserve">Car Year (Area Chart) – </w:t>
      </w:r>
      <w:r w:rsidRPr="005D2AC4">
        <w:rPr>
          <w:rFonts w:ascii="Times New Roman" w:hAnsi="Times New Roman" w:cs="Times New Roman"/>
          <w:sz w:val="24"/>
          <w:szCs w:val="24"/>
        </w:rPr>
        <w:t>Reveals how the vehicle’s manufacturing year influences policy volume and claim patterns.</w:t>
      </w:r>
    </w:p>
    <w:p w14:paraId="157ED58A" w14:textId="77777777" w:rsidR="005D2AC4" w:rsidRPr="005D2AC4" w:rsidRDefault="005D2AC4" w:rsidP="005D2AC4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D2AC4">
        <w:rPr>
          <w:rFonts w:ascii="Times New Roman" w:hAnsi="Times New Roman" w:cs="Times New Roman"/>
          <w:b/>
          <w:bCs/>
          <w:sz w:val="24"/>
          <w:szCs w:val="24"/>
        </w:rPr>
        <w:t xml:space="preserve">Kids Driving (Ribbon Chart) – </w:t>
      </w:r>
      <w:r w:rsidRPr="005D2AC4">
        <w:rPr>
          <w:rFonts w:ascii="Times New Roman" w:hAnsi="Times New Roman" w:cs="Times New Roman"/>
          <w:sz w:val="24"/>
          <w:szCs w:val="24"/>
        </w:rPr>
        <w:t>Examines how the presence of young drivers in a household affects policy and claim activity.</w:t>
      </w:r>
    </w:p>
    <w:p w14:paraId="3DD2DA49" w14:textId="7AF1B4AD" w:rsidR="005D2AC4" w:rsidRPr="005D2AC4" w:rsidRDefault="005D2AC4" w:rsidP="005D2AC4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D2AC4">
        <w:rPr>
          <w:rFonts w:ascii="Times New Roman" w:hAnsi="Times New Roman" w:cs="Times New Roman"/>
          <w:b/>
          <w:bCs/>
          <w:sz w:val="24"/>
          <w:szCs w:val="24"/>
        </w:rPr>
        <w:t xml:space="preserve">Education (Pie Chart) – </w:t>
      </w:r>
      <w:r w:rsidRPr="005D2AC4">
        <w:rPr>
          <w:rFonts w:ascii="Times New Roman" w:hAnsi="Times New Roman" w:cs="Times New Roman"/>
          <w:sz w:val="24"/>
          <w:szCs w:val="24"/>
        </w:rPr>
        <w:t xml:space="preserve">Displays how education levels correlate with policy adoption and claim </w:t>
      </w:r>
      <w:r w:rsidRPr="005D2AC4">
        <w:rPr>
          <w:rFonts w:ascii="Times New Roman" w:hAnsi="Times New Roman" w:cs="Times New Roman"/>
          <w:sz w:val="24"/>
          <w:szCs w:val="24"/>
        </w:rPr>
        <w:t>behaviour</w:t>
      </w:r>
      <w:r w:rsidRPr="005D2AC4">
        <w:rPr>
          <w:rFonts w:ascii="Times New Roman" w:hAnsi="Times New Roman" w:cs="Times New Roman"/>
          <w:sz w:val="24"/>
          <w:szCs w:val="24"/>
        </w:rPr>
        <w:t>.</w:t>
      </w:r>
    </w:p>
    <w:p w14:paraId="5D0D037A" w14:textId="77777777" w:rsidR="005D2AC4" w:rsidRPr="005D2AC4" w:rsidRDefault="005D2AC4" w:rsidP="005D2AC4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D2AC4">
        <w:rPr>
          <w:rFonts w:ascii="Times New Roman" w:hAnsi="Times New Roman" w:cs="Times New Roman"/>
          <w:b/>
          <w:bCs/>
          <w:sz w:val="24"/>
          <w:szCs w:val="24"/>
        </w:rPr>
        <w:t xml:space="preserve">Education &amp; Marital Status (Matrix Heatmap) – </w:t>
      </w:r>
      <w:r w:rsidRPr="005D2AC4">
        <w:rPr>
          <w:rFonts w:ascii="Times New Roman" w:hAnsi="Times New Roman" w:cs="Times New Roman"/>
          <w:sz w:val="24"/>
          <w:szCs w:val="24"/>
        </w:rPr>
        <w:t>Explores the combined impact of education and marital status on policies and claims, identifying key customer personas.</w:t>
      </w:r>
    </w:p>
    <w:p w14:paraId="3BEB066D" w14:textId="77777777" w:rsidR="000C560A" w:rsidRPr="005D2AC4" w:rsidRDefault="000C560A" w:rsidP="005D2AC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8BAB70E" w14:textId="77777777" w:rsidR="000C560A" w:rsidRPr="005D2AC4" w:rsidRDefault="000C560A" w:rsidP="005D2AC4">
      <w:pPr>
        <w:spacing w:line="276" w:lineRule="auto"/>
      </w:pPr>
    </w:p>
    <w:sectPr w:rsidR="000C560A" w:rsidRPr="005D2AC4" w:rsidSect="005D2AC4">
      <w:pgSz w:w="11906" w:h="16838"/>
      <w:pgMar w:top="720" w:right="720" w:bottom="720" w:left="720" w:header="708" w:footer="708" w:gutter="0"/>
      <w:pgBorders w:offsetFrom="page">
        <w:top w:val="single" w:sz="4" w:space="24" w:color="2F5496" w:themeColor="accent1" w:themeShade="BF"/>
        <w:left w:val="single" w:sz="4" w:space="24" w:color="2F5496" w:themeColor="accent1" w:themeShade="BF"/>
        <w:bottom w:val="single" w:sz="4" w:space="24" w:color="2F5496" w:themeColor="accent1" w:themeShade="BF"/>
        <w:right w:val="single" w:sz="4" w:space="24" w:color="2F5496" w:themeColor="accent1" w:themeShade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2A33E" w14:textId="77777777" w:rsidR="006E441A" w:rsidRDefault="006E441A" w:rsidP="00FB0555">
      <w:pPr>
        <w:spacing w:after="0" w:line="240" w:lineRule="auto"/>
      </w:pPr>
      <w:r>
        <w:separator/>
      </w:r>
    </w:p>
  </w:endnote>
  <w:endnote w:type="continuationSeparator" w:id="0">
    <w:p w14:paraId="0DC2202E" w14:textId="77777777" w:rsidR="006E441A" w:rsidRDefault="006E441A" w:rsidP="00FB05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CBC9E" w14:textId="77777777" w:rsidR="006E441A" w:rsidRDefault="006E441A" w:rsidP="00FB0555">
      <w:pPr>
        <w:spacing w:after="0" w:line="240" w:lineRule="auto"/>
      </w:pPr>
      <w:r>
        <w:separator/>
      </w:r>
    </w:p>
  </w:footnote>
  <w:footnote w:type="continuationSeparator" w:id="0">
    <w:p w14:paraId="729108A8" w14:textId="77777777" w:rsidR="006E441A" w:rsidRDefault="006E441A" w:rsidP="00FB05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B69BB"/>
    <w:multiLevelType w:val="hybridMultilevel"/>
    <w:tmpl w:val="D0C6F9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D83E5E"/>
    <w:multiLevelType w:val="hybridMultilevel"/>
    <w:tmpl w:val="02361C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4477FD"/>
    <w:multiLevelType w:val="hybridMultilevel"/>
    <w:tmpl w:val="C8481134"/>
    <w:lvl w:ilvl="0" w:tplc="2A0A2EC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A2435B"/>
    <w:multiLevelType w:val="hybridMultilevel"/>
    <w:tmpl w:val="86DC07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EB0E71"/>
    <w:multiLevelType w:val="multilevel"/>
    <w:tmpl w:val="9554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6C380B"/>
    <w:multiLevelType w:val="multilevel"/>
    <w:tmpl w:val="8BA0E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2A6749"/>
    <w:multiLevelType w:val="hybridMultilevel"/>
    <w:tmpl w:val="88386658"/>
    <w:lvl w:ilvl="0" w:tplc="3B8822F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7772A7"/>
    <w:multiLevelType w:val="multilevel"/>
    <w:tmpl w:val="5D2E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087185">
    <w:abstractNumId w:val="3"/>
  </w:num>
  <w:num w:numId="2" w16cid:durableId="292030720">
    <w:abstractNumId w:val="7"/>
  </w:num>
  <w:num w:numId="3" w16cid:durableId="1049563">
    <w:abstractNumId w:val="2"/>
  </w:num>
  <w:num w:numId="4" w16cid:durableId="1334411222">
    <w:abstractNumId w:val="0"/>
  </w:num>
  <w:num w:numId="5" w16cid:durableId="384568791">
    <w:abstractNumId w:val="6"/>
  </w:num>
  <w:num w:numId="6" w16cid:durableId="1252280961">
    <w:abstractNumId w:val="1"/>
  </w:num>
  <w:num w:numId="7" w16cid:durableId="1827043348">
    <w:abstractNumId w:val="4"/>
  </w:num>
  <w:num w:numId="8" w16cid:durableId="18967745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60A"/>
    <w:rsid w:val="000138CA"/>
    <w:rsid w:val="0007676C"/>
    <w:rsid w:val="000C560A"/>
    <w:rsid w:val="00246DDA"/>
    <w:rsid w:val="002D42DB"/>
    <w:rsid w:val="003526F9"/>
    <w:rsid w:val="005D2AC4"/>
    <w:rsid w:val="006E441A"/>
    <w:rsid w:val="00750E0A"/>
    <w:rsid w:val="007F4544"/>
    <w:rsid w:val="0086152D"/>
    <w:rsid w:val="00910785"/>
    <w:rsid w:val="00A579EF"/>
    <w:rsid w:val="00B90E3A"/>
    <w:rsid w:val="00CD3295"/>
    <w:rsid w:val="00D94226"/>
    <w:rsid w:val="00F20538"/>
    <w:rsid w:val="00FB0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6E18B"/>
  <w15:chartTrackingRefBased/>
  <w15:docId w15:val="{4A5B4881-AEF8-405D-B447-3D36DD8C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60A"/>
  </w:style>
  <w:style w:type="paragraph" w:styleId="Heading1">
    <w:name w:val="heading 1"/>
    <w:basedOn w:val="Normal"/>
    <w:next w:val="Normal"/>
    <w:link w:val="Heading1Char"/>
    <w:uiPriority w:val="9"/>
    <w:qFormat/>
    <w:rsid w:val="000C5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6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6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6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6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6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6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6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6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6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6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6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6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6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6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6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6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6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05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555"/>
  </w:style>
  <w:style w:type="paragraph" w:styleId="Footer">
    <w:name w:val="footer"/>
    <w:basedOn w:val="Normal"/>
    <w:link w:val="FooterChar"/>
    <w:uiPriority w:val="99"/>
    <w:unhideWhenUsed/>
    <w:rsid w:val="00FB05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555"/>
  </w:style>
  <w:style w:type="character" w:styleId="Hyperlink">
    <w:name w:val="Hyperlink"/>
    <w:basedOn w:val="DefaultParagraphFont"/>
    <w:uiPriority w:val="99"/>
    <w:unhideWhenUsed/>
    <w:rsid w:val="00FB05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055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9422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Ellinna Dutta</cp:lastModifiedBy>
  <cp:revision>9</cp:revision>
  <dcterms:created xsi:type="dcterms:W3CDTF">2025-08-25T14:10:00Z</dcterms:created>
  <dcterms:modified xsi:type="dcterms:W3CDTF">2025-11-02T05:12:00Z</dcterms:modified>
</cp:coreProperties>
</file>