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12752" w14:textId="509B3AD9" w:rsidR="00464DEF" w:rsidRPr="00464DEF" w:rsidRDefault="00464DEF" w:rsidP="00464DEF">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r w:rsidRPr="00464DEF">
        <w:rPr>
          <w:rFonts w:ascii="Times New Roman" w:hAnsi="Times New Roman" w:cs="Times New Roman"/>
        </w:rPr>
        <w:t>SRUC – Edinburgh</w:t>
      </w:r>
    </w:p>
    <w:p w14:paraId="04CBF9D9" w14:textId="24B8AA97" w:rsidR="00464DEF" w:rsidRPr="00464DEF" w:rsidRDefault="00464DEF" w:rsidP="00464DEF">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r w:rsidRPr="00464DEF">
        <w:rPr>
          <w:rFonts w:ascii="Times New Roman" w:hAnsi="Times New Roman" w:cs="Times New Roman"/>
        </w:rPr>
        <w:t>Environmental Resource Management – Year 3</w:t>
      </w:r>
    </w:p>
    <w:p w14:paraId="6F697199" w14:textId="77777777" w:rsidR="00464DEF" w:rsidRPr="00464DEF" w:rsidRDefault="00464DEF" w:rsidP="00464DEF">
      <w:pPr>
        <w:jc w:val="center"/>
        <w:rPr>
          <w:rFonts w:ascii="Times New Roman" w:hAnsi="Times New Roman" w:cs="Times New Roman"/>
        </w:rPr>
      </w:pPr>
    </w:p>
    <w:p w14:paraId="1C56C97C" w14:textId="4C9E4928" w:rsidR="00073C86" w:rsidRPr="00464DEF" w:rsidRDefault="00464DEF" w:rsidP="00464DEF">
      <w:pPr>
        <w:jc w:val="center"/>
        <w:rPr>
          <w:rFonts w:ascii="Times New Roman" w:hAnsi="Times New Roman" w:cs="Times New Roman"/>
        </w:rPr>
      </w:pPr>
      <w:r w:rsidRPr="00464DEF">
        <w:rPr>
          <w:rFonts w:ascii="Times New Roman" w:hAnsi="Times New Roman" w:cs="Times New Roman"/>
        </w:rPr>
        <w:t>Rural Planning &amp; Environmental Impact Assessment</w:t>
      </w:r>
    </w:p>
    <w:p w14:paraId="1DA6CE2A" w14:textId="554785B7" w:rsidR="00464DEF" w:rsidRDefault="00464DEF" w:rsidP="00464DEF">
      <w:pPr>
        <w:jc w:val="center"/>
        <w:rPr>
          <w:rFonts w:ascii="Times New Roman" w:hAnsi="Times New Roman" w:cs="Times New Roman"/>
        </w:rPr>
      </w:pPr>
      <w:r w:rsidRPr="00464DEF">
        <w:rPr>
          <w:rFonts w:ascii="Times New Roman" w:hAnsi="Times New Roman" w:cs="Times New Roman"/>
        </w:rPr>
        <w:t>Written Assessment (1/1)</w:t>
      </w:r>
    </w:p>
    <w:p w14:paraId="5A6FDEE6" w14:textId="486DE63D" w:rsidR="00464DEF" w:rsidRDefault="00464DEF" w:rsidP="00464DEF">
      <w:pPr>
        <w:rPr>
          <w:rFonts w:ascii="Times New Roman" w:hAnsi="Times New Roman" w:cs="Times New Roman"/>
        </w:rPr>
      </w:pPr>
    </w:p>
    <w:p w14:paraId="3B26955E" w14:textId="77777777" w:rsidR="00464DEF" w:rsidRPr="00464DEF" w:rsidRDefault="00464DEF" w:rsidP="00464DEF">
      <w:pPr>
        <w:rPr>
          <w:rFonts w:ascii="Times New Roman" w:hAnsi="Times New Roman" w:cs="Times New Roman"/>
        </w:rPr>
      </w:pPr>
    </w:p>
    <w:p w14:paraId="3094402F" w14:textId="140326ED" w:rsidR="0043371C" w:rsidRDefault="00464DEF" w:rsidP="0043371C">
      <w:pPr>
        <w:jc w:val="center"/>
        <w:rPr>
          <w:rFonts w:ascii="Times New Roman" w:hAnsi="Times New Roman" w:cs="Times New Roman"/>
          <w:b/>
          <w:bCs/>
          <w:i/>
          <w:iCs/>
          <w:sz w:val="36"/>
          <w:szCs w:val="36"/>
        </w:rPr>
      </w:pPr>
      <w:r w:rsidRPr="00464DEF">
        <w:rPr>
          <w:rFonts w:ascii="Times New Roman" w:hAnsi="Times New Roman" w:cs="Times New Roman"/>
          <w:b/>
          <w:bCs/>
          <w:i/>
          <w:iCs/>
          <w:sz w:val="36"/>
          <w:szCs w:val="36"/>
        </w:rPr>
        <w:t>A Critical Evaluation of the</w:t>
      </w:r>
      <w:r w:rsidR="0043371C">
        <w:rPr>
          <w:rFonts w:ascii="Times New Roman" w:hAnsi="Times New Roman" w:cs="Times New Roman"/>
          <w:b/>
          <w:bCs/>
          <w:i/>
          <w:iCs/>
          <w:sz w:val="36"/>
          <w:szCs w:val="36"/>
        </w:rPr>
        <w:t xml:space="preserve"> effectiveness of</w:t>
      </w:r>
      <w:r w:rsidRPr="00464DEF">
        <w:rPr>
          <w:rFonts w:ascii="Times New Roman" w:hAnsi="Times New Roman" w:cs="Times New Roman"/>
          <w:b/>
          <w:bCs/>
          <w:i/>
          <w:iCs/>
          <w:sz w:val="36"/>
          <w:szCs w:val="36"/>
        </w:rPr>
        <w:t xml:space="preserve"> Environmental Impact Assessment</w:t>
      </w:r>
      <w:r w:rsidR="0043371C">
        <w:rPr>
          <w:rFonts w:ascii="Times New Roman" w:hAnsi="Times New Roman" w:cs="Times New Roman"/>
          <w:b/>
          <w:bCs/>
          <w:i/>
          <w:iCs/>
          <w:sz w:val="36"/>
          <w:szCs w:val="36"/>
        </w:rPr>
        <w:t>’s</w:t>
      </w:r>
    </w:p>
    <w:p w14:paraId="57F920D9" w14:textId="77777777" w:rsidR="0043371C" w:rsidRDefault="0043371C" w:rsidP="0043371C">
      <w:pPr>
        <w:jc w:val="center"/>
        <w:rPr>
          <w:rFonts w:ascii="Times New Roman" w:hAnsi="Times New Roman" w:cs="Times New Roman"/>
          <w:b/>
          <w:bCs/>
          <w:i/>
          <w:iCs/>
          <w:sz w:val="36"/>
          <w:szCs w:val="36"/>
        </w:rPr>
      </w:pPr>
    </w:p>
    <w:p w14:paraId="3BA6052A" w14:textId="4515AA60" w:rsidR="0043371C" w:rsidRPr="00464DEF" w:rsidRDefault="0043371C" w:rsidP="00464DEF">
      <w:pPr>
        <w:jc w:val="center"/>
        <w:rPr>
          <w:rFonts w:ascii="Times New Roman" w:hAnsi="Times New Roman" w:cs="Times New Roman"/>
          <w:b/>
          <w:bCs/>
          <w:i/>
          <w:iCs/>
          <w:sz w:val="36"/>
          <w:szCs w:val="36"/>
        </w:rPr>
      </w:pPr>
      <w:r>
        <w:rPr>
          <w:rFonts w:ascii="Times New Roman" w:hAnsi="Times New Roman" w:cs="Times New Roman"/>
          <w:b/>
          <w:bCs/>
          <w:i/>
          <w:iCs/>
          <w:sz w:val="36"/>
          <w:szCs w:val="36"/>
        </w:rPr>
        <w:t>(Case Study: Destination Hillend)</w:t>
      </w:r>
    </w:p>
    <w:p w14:paraId="37D47A60" w14:textId="5F59B150" w:rsidR="00464DEF" w:rsidRPr="00464DEF" w:rsidRDefault="00464DEF" w:rsidP="00464DEF">
      <w:pPr>
        <w:jc w:val="cente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46D9816C" wp14:editId="622F42CE">
            <wp:simplePos x="0" y="0"/>
            <wp:positionH relativeFrom="margin">
              <wp:posOffset>-10160</wp:posOffset>
            </wp:positionH>
            <wp:positionV relativeFrom="paragraph">
              <wp:posOffset>275590</wp:posOffset>
            </wp:positionV>
            <wp:extent cx="5828030" cy="3714750"/>
            <wp:effectExtent l="0" t="0" r="1270" b="6350"/>
            <wp:wrapTopAndBottom/>
            <wp:docPr id="1" name="Picture 1" descr="A picture containing sky, outdoor, mountain,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tinationhillend1.jpg"/>
                    <pic:cNvPicPr/>
                  </pic:nvPicPr>
                  <pic:blipFill>
                    <a:blip r:embed="rId6">
                      <a:extLst>
                        <a:ext uri="{28A0092B-C50C-407E-A947-70E740481C1C}">
                          <a14:useLocalDpi xmlns:a14="http://schemas.microsoft.com/office/drawing/2010/main" val="0"/>
                        </a:ext>
                      </a:extLst>
                    </a:blip>
                    <a:stretch>
                      <a:fillRect/>
                    </a:stretch>
                  </pic:blipFill>
                  <pic:spPr>
                    <a:xfrm>
                      <a:off x="0" y="0"/>
                      <a:ext cx="5828030" cy="3714750"/>
                    </a:xfrm>
                    <a:prstGeom prst="rect">
                      <a:avLst/>
                    </a:prstGeom>
                  </pic:spPr>
                </pic:pic>
              </a:graphicData>
            </a:graphic>
            <wp14:sizeRelH relativeFrom="page">
              <wp14:pctWidth>0</wp14:pctWidth>
            </wp14:sizeRelH>
            <wp14:sizeRelV relativeFrom="page">
              <wp14:pctHeight>0</wp14:pctHeight>
            </wp14:sizeRelV>
          </wp:anchor>
        </w:drawing>
      </w:r>
    </w:p>
    <w:p w14:paraId="3A19E5CC" w14:textId="6226DFB3" w:rsidR="00464DEF" w:rsidRDefault="0043371C" w:rsidP="00464DEF">
      <w:pPr>
        <w:jc w:val="cente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3B36CEFF" wp14:editId="7B6D257C">
            <wp:simplePos x="0" y="0"/>
            <wp:positionH relativeFrom="margin">
              <wp:posOffset>1967230</wp:posOffset>
            </wp:positionH>
            <wp:positionV relativeFrom="margin">
              <wp:posOffset>6447448</wp:posOffset>
            </wp:positionV>
            <wp:extent cx="1793875" cy="17938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RUC LOGO.jpeg"/>
                    <pic:cNvPicPr/>
                  </pic:nvPicPr>
                  <pic:blipFill>
                    <a:blip r:embed="rId7">
                      <a:extLst>
                        <a:ext uri="{28A0092B-C50C-407E-A947-70E740481C1C}">
                          <a14:useLocalDpi xmlns:a14="http://schemas.microsoft.com/office/drawing/2010/main" val="0"/>
                        </a:ext>
                      </a:extLst>
                    </a:blip>
                    <a:stretch>
                      <a:fillRect/>
                    </a:stretch>
                  </pic:blipFill>
                  <pic:spPr>
                    <a:xfrm>
                      <a:off x="0" y="0"/>
                      <a:ext cx="1793875" cy="1793875"/>
                    </a:xfrm>
                    <a:prstGeom prst="rect">
                      <a:avLst/>
                    </a:prstGeom>
                  </pic:spPr>
                </pic:pic>
              </a:graphicData>
            </a:graphic>
            <wp14:sizeRelH relativeFrom="margin">
              <wp14:pctWidth>0</wp14:pctWidth>
            </wp14:sizeRelH>
            <wp14:sizeRelV relativeFrom="margin">
              <wp14:pctHeight>0</wp14:pctHeight>
            </wp14:sizeRelV>
          </wp:anchor>
        </w:drawing>
      </w:r>
    </w:p>
    <w:p w14:paraId="10A3CA1E" w14:textId="06A0CEB6" w:rsidR="00464DEF" w:rsidRPr="00464DEF" w:rsidRDefault="00464DEF" w:rsidP="00464DEF">
      <w:pPr>
        <w:rPr>
          <w:rFonts w:ascii="Times New Roman" w:hAnsi="Times New Roman" w:cs="Times New Roman"/>
        </w:rPr>
      </w:pPr>
    </w:p>
    <w:p w14:paraId="7029A41D" w14:textId="0889D01E" w:rsidR="00464DEF" w:rsidRPr="00464DEF" w:rsidRDefault="00464DEF" w:rsidP="00464DEF">
      <w:pPr>
        <w:rPr>
          <w:rFonts w:ascii="Times New Roman" w:hAnsi="Times New Roman" w:cs="Times New Roman"/>
        </w:rPr>
      </w:pPr>
    </w:p>
    <w:p w14:paraId="2A01D1D0" w14:textId="22DAD3E8" w:rsidR="00464DEF" w:rsidRPr="00464DEF" w:rsidRDefault="00464DEF" w:rsidP="00464DEF">
      <w:pPr>
        <w:rPr>
          <w:rFonts w:ascii="Times New Roman" w:hAnsi="Times New Roman" w:cs="Times New Roman"/>
        </w:rPr>
      </w:pPr>
    </w:p>
    <w:p w14:paraId="40003FBA" w14:textId="6499913E" w:rsidR="00464DEF" w:rsidRPr="00464DEF" w:rsidRDefault="00464DEF" w:rsidP="00464DEF">
      <w:pPr>
        <w:rPr>
          <w:rFonts w:ascii="Times New Roman" w:hAnsi="Times New Roman" w:cs="Times New Roman"/>
        </w:rPr>
      </w:pPr>
    </w:p>
    <w:p w14:paraId="7265ED15" w14:textId="4B453E9B" w:rsidR="00464DEF" w:rsidRPr="00464DEF" w:rsidRDefault="00464DEF" w:rsidP="00464DEF">
      <w:pPr>
        <w:rPr>
          <w:rFonts w:ascii="Times New Roman" w:hAnsi="Times New Roman" w:cs="Times New Roman"/>
        </w:rPr>
      </w:pPr>
    </w:p>
    <w:p w14:paraId="3A7FA370" w14:textId="4DADE571" w:rsidR="00464DEF" w:rsidRPr="00464DEF" w:rsidRDefault="00464DEF" w:rsidP="00464DEF">
      <w:pPr>
        <w:rPr>
          <w:rFonts w:ascii="Times New Roman" w:hAnsi="Times New Roman" w:cs="Times New Roman"/>
        </w:rPr>
      </w:pPr>
    </w:p>
    <w:p w14:paraId="2347ED27" w14:textId="1961C77D" w:rsidR="00464DEF" w:rsidRPr="00464DEF" w:rsidRDefault="00464DEF" w:rsidP="00464DEF">
      <w:pPr>
        <w:rPr>
          <w:rFonts w:ascii="Times New Roman" w:hAnsi="Times New Roman" w:cs="Times New Roman"/>
        </w:rPr>
      </w:pPr>
    </w:p>
    <w:p w14:paraId="572EC37A" w14:textId="380DFA95" w:rsidR="00464DEF" w:rsidRPr="00464DEF" w:rsidRDefault="00464DEF" w:rsidP="00464DEF">
      <w:pPr>
        <w:rPr>
          <w:rFonts w:ascii="Times New Roman" w:hAnsi="Times New Roman" w:cs="Times New Roman"/>
        </w:rPr>
      </w:pPr>
    </w:p>
    <w:p w14:paraId="0B53091D" w14:textId="0B914EFE" w:rsidR="00464DEF" w:rsidRPr="00464DEF" w:rsidRDefault="00464DEF" w:rsidP="00464DEF">
      <w:pPr>
        <w:rPr>
          <w:rFonts w:ascii="Times New Roman" w:hAnsi="Times New Roman" w:cs="Times New Roman"/>
        </w:rPr>
      </w:pPr>
    </w:p>
    <w:p w14:paraId="60901540" w14:textId="128C342F" w:rsidR="00464DEF" w:rsidRPr="00464DEF" w:rsidRDefault="00464DEF" w:rsidP="00464DEF">
      <w:pPr>
        <w:rPr>
          <w:rFonts w:ascii="Times New Roman" w:hAnsi="Times New Roman" w:cs="Times New Roman"/>
        </w:rPr>
      </w:pPr>
    </w:p>
    <w:p w14:paraId="27BAB330" w14:textId="4078F02F" w:rsidR="00464DEF" w:rsidRDefault="00464DEF" w:rsidP="00464DEF">
      <w:pPr>
        <w:rPr>
          <w:rFonts w:ascii="Times New Roman" w:hAnsi="Times New Roman" w:cs="Times New Roman"/>
        </w:rPr>
      </w:pPr>
    </w:p>
    <w:p w14:paraId="7AA31A4E" w14:textId="176D8B87" w:rsidR="00464DEF" w:rsidRDefault="00464DEF" w:rsidP="00464DEF">
      <w:pPr>
        <w:jc w:val="center"/>
        <w:rPr>
          <w:rFonts w:ascii="Times New Roman" w:hAnsi="Times New Roman" w:cs="Times New Roman"/>
        </w:rPr>
      </w:pPr>
      <w:r>
        <w:rPr>
          <w:rFonts w:ascii="Times New Roman" w:hAnsi="Times New Roman" w:cs="Times New Roman"/>
        </w:rPr>
        <w:t>By Angus Maclean (S30033836)</w:t>
      </w:r>
    </w:p>
    <w:p w14:paraId="608E7024" w14:textId="3822265B" w:rsidR="0043371C" w:rsidRDefault="00464DEF" w:rsidP="00464DEF">
      <w:pPr>
        <w:jc w:val="center"/>
        <w:rPr>
          <w:rFonts w:ascii="Times New Roman" w:hAnsi="Times New Roman" w:cs="Times New Roman"/>
        </w:rPr>
      </w:pPr>
      <w:r>
        <w:rPr>
          <w:rFonts w:ascii="Times New Roman" w:hAnsi="Times New Roman" w:cs="Times New Roman"/>
        </w:rPr>
        <w:t xml:space="preserve">Word count </w:t>
      </w:r>
      <w:r w:rsidR="0043371C">
        <w:rPr>
          <w:rFonts w:ascii="Times New Roman" w:hAnsi="Times New Roman" w:cs="Times New Roman"/>
        </w:rPr>
        <w:t>–</w:t>
      </w:r>
      <w:r>
        <w:rPr>
          <w:rFonts w:ascii="Times New Roman" w:hAnsi="Times New Roman" w:cs="Times New Roman"/>
        </w:rPr>
        <w:t xml:space="preserve"> </w:t>
      </w:r>
      <w:r w:rsidR="00220BE4">
        <w:rPr>
          <w:rFonts w:ascii="Times New Roman" w:hAnsi="Times New Roman" w:cs="Times New Roman"/>
        </w:rPr>
        <w:t>2,534</w:t>
      </w:r>
    </w:p>
    <w:p w14:paraId="45360B79" w14:textId="69EB89A4" w:rsidR="003F2704" w:rsidRDefault="0043371C" w:rsidP="003F2704">
      <w:pPr>
        <w:rPr>
          <w:rFonts w:ascii="Times New Roman" w:hAnsi="Times New Roman" w:cs="Times New Roman"/>
        </w:rPr>
      </w:pPr>
      <w:r>
        <w:rPr>
          <w:rFonts w:ascii="Times New Roman" w:hAnsi="Times New Roman" w:cs="Times New Roman"/>
        </w:rPr>
        <w:br w:type="page"/>
      </w:r>
      <w:r w:rsidR="00550440" w:rsidRPr="00220BE4">
        <w:rPr>
          <w:rFonts w:ascii="Times New Roman" w:hAnsi="Times New Roman" w:cs="Times New Roman"/>
          <w:u w:val="single"/>
        </w:rPr>
        <w:lastRenderedPageBreak/>
        <w:t>Introduction to project</w:t>
      </w:r>
      <w:r w:rsidR="003F2704">
        <w:rPr>
          <w:rFonts w:ascii="Times New Roman" w:hAnsi="Times New Roman" w:cs="Times New Roman"/>
        </w:rPr>
        <w:t>:</w:t>
      </w:r>
    </w:p>
    <w:p w14:paraId="4D77FEC7" w14:textId="3CEF58FF" w:rsidR="00D26D34" w:rsidRDefault="00A7333A" w:rsidP="003F2704">
      <w:pPr>
        <w:jc w:val="both"/>
        <w:rPr>
          <w:rFonts w:ascii="Times New Roman" w:hAnsi="Times New Roman" w:cs="Times New Roman"/>
        </w:rPr>
      </w:pPr>
      <w:r>
        <w:rPr>
          <w:rFonts w:ascii="Times New Roman" w:hAnsi="Times New Roman" w:cs="Times New Roman"/>
        </w:rPr>
        <w:t>Midlothian Snowsport Centre is an outdoor snowsports centre situated at Hillend, Edinburgh in the south-east of Scotland. The current facility has a range of slopes which accommodate for users of all abilities, with 2 large main slopes, 3 nursery slopes, a jumping slope and a number of features which allow freestyling, as well as an array of tubing slopes. The facility first opened in the 1960’s</w:t>
      </w:r>
      <w:r w:rsidR="00577D26">
        <w:rPr>
          <w:rFonts w:ascii="Times New Roman" w:hAnsi="Times New Roman" w:cs="Times New Roman"/>
        </w:rPr>
        <w:t xml:space="preserve"> under several different ownerships. In 1996 ownership was granted to Midlothian Council, who currently still own and run the facility. Since the last major investment and partial refurbishment of the facility in 2008, the site has now been deemed to require further refurbishment, as some features on site have been described as tired-looking and losing their functionality. </w:t>
      </w:r>
      <w:r w:rsidR="00C74379">
        <w:rPr>
          <w:rFonts w:ascii="Times New Roman" w:hAnsi="Times New Roman" w:cs="Times New Roman"/>
        </w:rPr>
        <w:t xml:space="preserve">Over the course of Midlothian Councils ownership of the Snowsports centre, the facility has </w:t>
      </w:r>
      <w:r w:rsidR="00F57ED9">
        <w:rPr>
          <w:rFonts w:ascii="Times New Roman" w:hAnsi="Times New Roman" w:cs="Times New Roman"/>
        </w:rPr>
        <w:t>undergone</w:t>
      </w:r>
      <w:r w:rsidR="00C74379">
        <w:rPr>
          <w:rFonts w:ascii="Times New Roman" w:hAnsi="Times New Roman" w:cs="Times New Roman"/>
        </w:rPr>
        <w:t xml:space="preserve"> some substantial periods of economic loss and has therefore been heavily subsidised to remain functional. Therefore, in May 2019, Midlothian Council approved </w:t>
      </w:r>
      <w:r w:rsidR="00F57ED9">
        <w:rPr>
          <w:rFonts w:ascii="Times New Roman" w:hAnsi="Times New Roman" w:cs="Times New Roman"/>
        </w:rPr>
        <w:t xml:space="preserve">an economic investment to the sum of £13.8m in order to refurbish and improve the facility with the introduction of several new features. </w:t>
      </w:r>
    </w:p>
    <w:p w14:paraId="7ED3B99F" w14:textId="5966888A" w:rsidR="00D26D34" w:rsidRDefault="00D26D34" w:rsidP="003F2704">
      <w:pPr>
        <w:jc w:val="both"/>
        <w:rPr>
          <w:rFonts w:ascii="Times New Roman" w:hAnsi="Times New Roman" w:cs="Times New Roman"/>
        </w:rPr>
      </w:pPr>
    </w:p>
    <w:p w14:paraId="4C4D1E86" w14:textId="6D91E52B" w:rsidR="00BE1E3A" w:rsidRDefault="00F57ED9" w:rsidP="003F2704">
      <w:pPr>
        <w:jc w:val="both"/>
        <w:rPr>
          <w:rFonts w:ascii="Times New Roman" w:hAnsi="Times New Roman" w:cs="Times New Roman"/>
          <w:color w:val="FF0000"/>
        </w:rPr>
      </w:pPr>
      <w:r>
        <w:rPr>
          <w:rFonts w:ascii="Times New Roman" w:hAnsi="Times New Roman" w:cs="Times New Roman"/>
        </w:rPr>
        <w:t xml:space="preserve">The proposal put forward by the developers includes the installation of an alpine rollercoaster, a zipline, </w:t>
      </w:r>
      <w:r w:rsidR="000B2175">
        <w:rPr>
          <w:rFonts w:ascii="Times New Roman" w:hAnsi="Times New Roman" w:cs="Times New Roman"/>
        </w:rPr>
        <w:t xml:space="preserve">an ‘activity dome’, a new freestyle jump slope, a new reception building for the centre, a food court, various function suites, retail space, an array of ‘glamping’ wigwams and the potential for the erection of a hotel. In addition to the wide array of attractive new features and attractions, much of the existing features will undergo either partial or full refurbishment and the car-parking capacity will be increased to accommodate the anticipated increase in footfall. </w:t>
      </w:r>
      <w:r w:rsidR="00730EEC">
        <w:rPr>
          <w:rFonts w:ascii="Times New Roman" w:hAnsi="Times New Roman" w:cs="Times New Roman"/>
        </w:rPr>
        <w:t xml:space="preserve">The installation of these new features is scheduled as a phased or staggered installation over the course of two or three years in order to keep the snowsport centre open and maintaining income over the whole course of the project. The proposed upgrades are expected to increase custom somewhere in the region of 25-100% more than the current baseline, </w:t>
      </w:r>
      <w:r w:rsidR="00FD05E8">
        <w:rPr>
          <w:rFonts w:ascii="Times New Roman" w:hAnsi="Times New Roman" w:cs="Times New Roman"/>
        </w:rPr>
        <w:t>due to the increased range of activities and services available on site</w:t>
      </w:r>
      <w:r w:rsidR="00220BE4">
        <w:rPr>
          <w:rFonts w:ascii="Times New Roman" w:hAnsi="Times New Roman" w:cs="Times New Roman"/>
        </w:rPr>
        <w:t xml:space="preserve"> (Sweco, 2019)</w:t>
      </w:r>
      <w:r w:rsidR="00FD05E8">
        <w:rPr>
          <w:rFonts w:ascii="Times New Roman" w:hAnsi="Times New Roman" w:cs="Times New Roman"/>
        </w:rPr>
        <w:t xml:space="preserve">. </w:t>
      </w:r>
    </w:p>
    <w:p w14:paraId="5EE2F996" w14:textId="1DD9EC5B" w:rsidR="00FD05E8" w:rsidRDefault="00BE1E3A" w:rsidP="003F2704">
      <w:pPr>
        <w:jc w:val="both"/>
        <w:rPr>
          <w:rFonts w:ascii="Times New Roman" w:hAnsi="Times New Roman" w:cs="Times New Roman"/>
          <w:color w:val="FF0000"/>
        </w:rPr>
      </w:pPr>
      <w:r>
        <w:rPr>
          <w:rFonts w:ascii="Times New Roman" w:hAnsi="Times New Roman" w:cs="Times New Roman"/>
          <w:color w:val="FF0000"/>
        </w:rPr>
        <w:t xml:space="preserve"> </w:t>
      </w:r>
    </w:p>
    <w:p w14:paraId="101DE049" w14:textId="1E6EBBD8" w:rsidR="00FD05E8" w:rsidRDefault="00FD05E8" w:rsidP="003F2704">
      <w:pPr>
        <w:jc w:val="both"/>
        <w:rPr>
          <w:rFonts w:ascii="Times New Roman" w:hAnsi="Times New Roman" w:cs="Times New Roman"/>
        </w:rPr>
      </w:pPr>
      <w:r>
        <w:rPr>
          <w:rFonts w:ascii="Times New Roman" w:hAnsi="Times New Roman" w:cs="Times New Roman"/>
        </w:rPr>
        <w:t xml:space="preserve">An environmental impact assessment (EIA) was carried out on the current site and the potential and estimated effects of the proposed development project. </w:t>
      </w:r>
      <w:r w:rsidR="00A54411">
        <w:rPr>
          <w:rFonts w:ascii="Times New Roman" w:hAnsi="Times New Roman" w:cs="Times New Roman"/>
        </w:rPr>
        <w:t xml:space="preserve">The schedule 2 EIA for the potential development of Destination Hillend was carried out by Sweco, a leading European consultancy firm with a base within Edinburgh. </w:t>
      </w:r>
      <w:r w:rsidR="003F2704">
        <w:rPr>
          <w:rFonts w:ascii="Times New Roman" w:hAnsi="Times New Roman" w:cs="Times New Roman"/>
        </w:rPr>
        <w:t xml:space="preserve">Aspects of the project taken into consideration during the screening phase were; noise and vibrations, traffic and transport, socioeconomics, biodiversity impact, air quality, impacts upon water, effect upon cultural heritage and the effect </w:t>
      </w:r>
      <w:r w:rsidR="003F2704" w:rsidRPr="003F2704">
        <w:rPr>
          <w:rFonts w:ascii="Times New Roman" w:hAnsi="Times New Roman" w:cs="Times New Roman"/>
        </w:rPr>
        <w:t xml:space="preserve">on the landscape and other visual aspects. </w:t>
      </w:r>
      <w:r w:rsidRPr="003F2704">
        <w:rPr>
          <w:rFonts w:ascii="Times New Roman" w:hAnsi="Times New Roman" w:cs="Times New Roman"/>
        </w:rPr>
        <w:t xml:space="preserve">Much of the EIA was carried out </w:t>
      </w:r>
      <w:r w:rsidR="00D7002A" w:rsidRPr="003F2704">
        <w:rPr>
          <w:rFonts w:ascii="Times New Roman" w:hAnsi="Times New Roman" w:cs="Times New Roman"/>
        </w:rPr>
        <w:t>using a maximum parameter approach,</w:t>
      </w:r>
      <w:r w:rsidR="00D7002A">
        <w:rPr>
          <w:rFonts w:ascii="Times New Roman" w:hAnsi="Times New Roman" w:cs="Times New Roman"/>
        </w:rPr>
        <w:t xml:space="preserve"> meaning all of the proposed features were taken into consideration at the largest potentially allowed scale, height or capacity. This method is used to ensure that the </w:t>
      </w:r>
      <w:r w:rsidR="00A54411">
        <w:rPr>
          <w:rFonts w:ascii="Times New Roman" w:hAnsi="Times New Roman" w:cs="Times New Roman"/>
        </w:rPr>
        <w:t xml:space="preserve">most potentially severe </w:t>
      </w:r>
      <w:r w:rsidR="00D7002A">
        <w:rPr>
          <w:rFonts w:ascii="Times New Roman" w:hAnsi="Times New Roman" w:cs="Times New Roman"/>
        </w:rPr>
        <w:t xml:space="preserve">environmental impacts of the development are accounted for, in its </w:t>
      </w:r>
      <w:r w:rsidR="00A54411">
        <w:rPr>
          <w:rFonts w:ascii="Times New Roman" w:hAnsi="Times New Roman" w:cs="Times New Roman"/>
        </w:rPr>
        <w:t>largest</w:t>
      </w:r>
      <w:r w:rsidR="00D7002A">
        <w:rPr>
          <w:rFonts w:ascii="Times New Roman" w:hAnsi="Times New Roman" w:cs="Times New Roman"/>
        </w:rPr>
        <w:t xml:space="preserve"> p</w:t>
      </w:r>
      <w:r w:rsidR="00A54411">
        <w:rPr>
          <w:rFonts w:ascii="Times New Roman" w:hAnsi="Times New Roman" w:cs="Times New Roman"/>
        </w:rPr>
        <w:t>ermitted</w:t>
      </w:r>
      <w:r w:rsidR="00D7002A">
        <w:rPr>
          <w:rFonts w:ascii="Times New Roman" w:hAnsi="Times New Roman" w:cs="Times New Roman"/>
        </w:rPr>
        <w:t xml:space="preserve"> scale, height or capacity</w:t>
      </w:r>
      <w:r w:rsidR="00A54411">
        <w:rPr>
          <w:rFonts w:ascii="Times New Roman" w:hAnsi="Times New Roman" w:cs="Times New Roman"/>
        </w:rPr>
        <w:t>. In the case of this proposed development, there were several instances where this approach was used, the alpine rollercoaster being one of them</w:t>
      </w:r>
      <w:r w:rsidR="003F2704">
        <w:rPr>
          <w:rFonts w:ascii="Times New Roman" w:hAnsi="Times New Roman" w:cs="Times New Roman"/>
        </w:rPr>
        <w:t>, where the feature was accounted for at its</w:t>
      </w:r>
      <w:r w:rsidR="00A54411">
        <w:rPr>
          <w:rFonts w:ascii="Times New Roman" w:hAnsi="Times New Roman" w:cs="Times New Roman"/>
        </w:rPr>
        <w:t xml:space="preserve"> tallest permitted height</w:t>
      </w:r>
      <w:r w:rsidR="00BB478D">
        <w:rPr>
          <w:rFonts w:ascii="Times New Roman" w:hAnsi="Times New Roman" w:cs="Times New Roman"/>
        </w:rPr>
        <w:t xml:space="preserve"> to gauge </w:t>
      </w:r>
      <w:r w:rsidR="003F2704">
        <w:rPr>
          <w:rFonts w:ascii="Times New Roman" w:hAnsi="Times New Roman" w:cs="Times New Roman"/>
        </w:rPr>
        <w:t>how</w:t>
      </w:r>
      <w:r w:rsidR="00BB478D">
        <w:rPr>
          <w:rFonts w:ascii="Times New Roman" w:hAnsi="Times New Roman" w:cs="Times New Roman"/>
        </w:rPr>
        <w:t xml:space="preserve"> much visual damage </w:t>
      </w:r>
      <w:r w:rsidR="003F2704">
        <w:rPr>
          <w:rFonts w:ascii="Times New Roman" w:hAnsi="Times New Roman" w:cs="Times New Roman"/>
        </w:rPr>
        <w:t xml:space="preserve">the feature would inflict </w:t>
      </w:r>
      <w:r w:rsidR="00BB478D">
        <w:rPr>
          <w:rFonts w:ascii="Times New Roman" w:hAnsi="Times New Roman" w:cs="Times New Roman"/>
        </w:rPr>
        <w:t>upon the landscape</w:t>
      </w:r>
      <w:r w:rsidR="003F2704">
        <w:rPr>
          <w:rFonts w:ascii="Times New Roman" w:hAnsi="Times New Roman" w:cs="Times New Roman"/>
        </w:rPr>
        <w:t>, and how far it could be seen from out</w:t>
      </w:r>
      <w:r w:rsidR="000F51A0">
        <w:rPr>
          <w:rFonts w:ascii="Times New Roman" w:hAnsi="Times New Roman" w:cs="Times New Roman"/>
        </w:rPr>
        <w:t>with</w:t>
      </w:r>
      <w:r w:rsidR="003F2704">
        <w:rPr>
          <w:rFonts w:ascii="Times New Roman" w:hAnsi="Times New Roman" w:cs="Times New Roman"/>
        </w:rPr>
        <w:t xml:space="preserve"> the site.</w:t>
      </w:r>
    </w:p>
    <w:p w14:paraId="19291B9F" w14:textId="5915678B" w:rsidR="000F51A0" w:rsidRDefault="000F51A0" w:rsidP="003F2704">
      <w:pPr>
        <w:jc w:val="both"/>
        <w:rPr>
          <w:rFonts w:ascii="Times New Roman" w:hAnsi="Times New Roman" w:cs="Times New Roman"/>
        </w:rPr>
      </w:pPr>
    </w:p>
    <w:p w14:paraId="73F9D732" w14:textId="111190C5" w:rsidR="004255EC" w:rsidRPr="00220BE4" w:rsidRDefault="000F51A0" w:rsidP="003F2704">
      <w:pPr>
        <w:jc w:val="both"/>
        <w:rPr>
          <w:rFonts w:ascii="Times New Roman" w:hAnsi="Times New Roman" w:cs="Times New Roman"/>
          <w:u w:val="single"/>
        </w:rPr>
      </w:pPr>
      <w:r w:rsidRPr="00220BE4">
        <w:rPr>
          <w:rFonts w:ascii="Times New Roman" w:hAnsi="Times New Roman" w:cs="Times New Roman"/>
          <w:u w:val="single"/>
        </w:rPr>
        <w:t xml:space="preserve">Critical Evaluation of Chapter </w:t>
      </w:r>
      <w:r w:rsidR="004255EC" w:rsidRPr="00220BE4">
        <w:rPr>
          <w:rFonts w:ascii="Times New Roman" w:hAnsi="Times New Roman" w:cs="Times New Roman"/>
          <w:u w:val="single"/>
        </w:rPr>
        <w:t>9 (Landscape and Visual)</w:t>
      </w:r>
      <w:r w:rsidR="00550440" w:rsidRPr="00220BE4">
        <w:rPr>
          <w:rFonts w:ascii="Times New Roman" w:hAnsi="Times New Roman" w:cs="Times New Roman"/>
          <w:u w:val="single"/>
        </w:rPr>
        <w:t>:</w:t>
      </w:r>
    </w:p>
    <w:p w14:paraId="6722C888" w14:textId="7240793F" w:rsidR="004255EC" w:rsidRDefault="004255EC" w:rsidP="003F2704">
      <w:pPr>
        <w:jc w:val="both"/>
        <w:rPr>
          <w:rFonts w:ascii="Times New Roman" w:hAnsi="Times New Roman" w:cs="Times New Roman"/>
        </w:rPr>
      </w:pPr>
      <w:r>
        <w:rPr>
          <w:rFonts w:ascii="Times New Roman" w:hAnsi="Times New Roman" w:cs="Times New Roman"/>
        </w:rPr>
        <w:t xml:space="preserve">The chapter begins with an introductory section providing some brief context explaining that the contents are based upon the findings of the Landscape and Visuals Impact Assessment </w:t>
      </w:r>
      <w:r w:rsidR="0032328A">
        <w:rPr>
          <w:rFonts w:ascii="Times New Roman" w:hAnsi="Times New Roman" w:cs="Times New Roman"/>
        </w:rPr>
        <w:t xml:space="preserve">(LVIA) </w:t>
      </w:r>
      <w:r>
        <w:rPr>
          <w:rFonts w:ascii="Times New Roman" w:hAnsi="Times New Roman" w:cs="Times New Roman"/>
        </w:rPr>
        <w:t>carried out by Sweco and their associated chartered landscape architects.</w:t>
      </w:r>
      <w:r w:rsidR="000311F8">
        <w:rPr>
          <w:rFonts w:ascii="Times New Roman" w:hAnsi="Times New Roman" w:cs="Times New Roman"/>
        </w:rPr>
        <w:t xml:space="preserve"> It is highlighted that the provided information gives context on the potential, residual and cumulative effects that may be resultant of the proposed project, both during construction and during its operational phase. </w:t>
      </w:r>
    </w:p>
    <w:p w14:paraId="5A2D4B28" w14:textId="470C28DC" w:rsidR="000311F8" w:rsidRDefault="000311F8" w:rsidP="003F2704">
      <w:pPr>
        <w:jc w:val="both"/>
        <w:rPr>
          <w:rFonts w:ascii="Times New Roman" w:hAnsi="Times New Roman" w:cs="Times New Roman"/>
        </w:rPr>
      </w:pPr>
    </w:p>
    <w:p w14:paraId="388865AD" w14:textId="7C050899" w:rsidR="000311F8" w:rsidRDefault="000311F8" w:rsidP="003F2704">
      <w:pPr>
        <w:jc w:val="both"/>
        <w:rPr>
          <w:rFonts w:ascii="Times New Roman" w:hAnsi="Times New Roman" w:cs="Times New Roman"/>
        </w:rPr>
      </w:pPr>
      <w:r>
        <w:rPr>
          <w:rFonts w:ascii="Times New Roman" w:hAnsi="Times New Roman" w:cs="Times New Roman"/>
        </w:rPr>
        <w:t xml:space="preserve">A section provided context in relation to policy across a national, regional and local level. The Third National Planning Framework (NPF3) and Scottish Planning Policy (SPP) was referred to within the national policy section. The policies referred to within the NPF3 are in reference to the associated health benefits that could be earned by utilising the services provided by the proposed development. In reference to the SPP, the policies highlighted were those which state that developers should make efforts to have minimal adverse </w:t>
      </w:r>
      <w:r w:rsidR="00345986">
        <w:rPr>
          <w:rFonts w:ascii="Times New Roman" w:hAnsi="Times New Roman" w:cs="Times New Roman"/>
        </w:rPr>
        <w:t xml:space="preserve">effects upon the surrounding environment and include afforestation on site as one of their primary objectives. In regard to regional policy, the Strategic Development Plan for Edinburgh and South-east Scotland was considered, with reference to the key points of the document promoting the conservation and enhancement of the natural and built environment. In terms of the local policy that the project intended correspond with, several objectives of the Midlothian Local Development Plan were highlighted. </w:t>
      </w:r>
      <w:r w:rsidR="005E1539">
        <w:rPr>
          <w:rFonts w:ascii="Times New Roman" w:hAnsi="Times New Roman" w:cs="Times New Roman"/>
        </w:rPr>
        <w:t xml:space="preserve">Policies ENV6, ENV7 and ENV11 highlight the need to maintain Special Land Area’s (which the Pentland Hills are categorised as), to maintain the natural land character existing on site and ensuring any additions to the landscape are compatible to the current aesthetic and the third in relation to the protection of woodland, trees and hedges on site. </w:t>
      </w:r>
    </w:p>
    <w:p w14:paraId="6827DCFA" w14:textId="5C55455A" w:rsidR="007908DB" w:rsidRDefault="007908DB" w:rsidP="003F2704">
      <w:pPr>
        <w:jc w:val="both"/>
        <w:rPr>
          <w:rFonts w:ascii="Times New Roman" w:hAnsi="Times New Roman" w:cs="Times New Roman"/>
        </w:rPr>
      </w:pPr>
    </w:p>
    <w:p w14:paraId="4E526210" w14:textId="0D229497" w:rsidR="007908DB" w:rsidRDefault="007908DB" w:rsidP="003F2704">
      <w:pPr>
        <w:jc w:val="both"/>
        <w:rPr>
          <w:rFonts w:ascii="Times New Roman" w:hAnsi="Times New Roman" w:cs="Times New Roman"/>
        </w:rPr>
      </w:pPr>
      <w:r>
        <w:rPr>
          <w:rFonts w:ascii="Times New Roman" w:hAnsi="Times New Roman" w:cs="Times New Roman"/>
        </w:rPr>
        <w:t>The policy highlighted all highly relevant to the development, considering the area is within the Pentlands Regional Park, which is considered a Special Land Area. T</w:t>
      </w:r>
      <w:r w:rsidR="0087005E">
        <w:rPr>
          <w:rFonts w:ascii="Times New Roman" w:hAnsi="Times New Roman" w:cs="Times New Roman"/>
        </w:rPr>
        <w:t xml:space="preserve">he development proposal included the planting of some woodland as screening for some of the features on site, as well as ensuring 25m buffers from some of the features on-site such as Caerketton Hill Fort. The inclusion of relevant policy as an introduction to the chapter is smart and provides much needed context for the reading beyond. Each chapter regarding each of the broad topics which received screening have their own policy section, which therefore makes finding the policy relevant to the specific topic of interest very efficient. </w:t>
      </w:r>
    </w:p>
    <w:p w14:paraId="02AB284C" w14:textId="7B358B00" w:rsidR="00933AA2" w:rsidRDefault="00933AA2" w:rsidP="003F2704">
      <w:pPr>
        <w:jc w:val="both"/>
        <w:rPr>
          <w:rFonts w:ascii="Times New Roman" w:hAnsi="Times New Roman" w:cs="Times New Roman"/>
        </w:rPr>
      </w:pPr>
    </w:p>
    <w:p w14:paraId="63BDB2A8" w14:textId="4F1C5D36" w:rsidR="007B14AD" w:rsidRDefault="0032328A" w:rsidP="003F2704">
      <w:pPr>
        <w:jc w:val="both"/>
        <w:rPr>
          <w:rFonts w:ascii="Times New Roman" w:hAnsi="Times New Roman" w:cs="Times New Roman"/>
        </w:rPr>
      </w:pPr>
      <w:r>
        <w:rPr>
          <w:rFonts w:ascii="Times New Roman" w:hAnsi="Times New Roman" w:cs="Times New Roman"/>
        </w:rPr>
        <w:t xml:space="preserve">The methodology section of the chapter covers the different methods of data collection used within the LVIA. The first stage of the LVIA was identifying the areas of the project which could have significant effects upon the visual amenity or the landscape resource on site, then identifying the landscape and visual receptors which would be directly affected by the development and creating an initial assessment on the potential effects felt by them, then finally identifying potential measures for mitigation of these effects or </w:t>
      </w:r>
      <w:r w:rsidR="007B14AD">
        <w:rPr>
          <w:rFonts w:ascii="Times New Roman" w:hAnsi="Times New Roman" w:cs="Times New Roman"/>
        </w:rPr>
        <w:t xml:space="preserve">areas where enhancement of </w:t>
      </w:r>
      <w:r>
        <w:rPr>
          <w:rFonts w:ascii="Times New Roman" w:hAnsi="Times New Roman" w:cs="Times New Roman"/>
        </w:rPr>
        <w:t xml:space="preserve">the natural </w:t>
      </w:r>
      <w:r w:rsidR="007B14AD">
        <w:rPr>
          <w:rFonts w:ascii="Times New Roman" w:hAnsi="Times New Roman" w:cs="Times New Roman"/>
        </w:rPr>
        <w:t xml:space="preserve">landscape could be achieved. The scope considered the potential impacts of the project both during the construction/development phase, as well as the operational phase. </w:t>
      </w:r>
    </w:p>
    <w:p w14:paraId="0E30C314" w14:textId="7FB87D4D" w:rsidR="00673F73" w:rsidRDefault="00673F73" w:rsidP="003F2704">
      <w:pPr>
        <w:jc w:val="both"/>
        <w:rPr>
          <w:rFonts w:ascii="Times New Roman" w:hAnsi="Times New Roman" w:cs="Times New Roman"/>
        </w:rPr>
      </w:pPr>
    </w:p>
    <w:p w14:paraId="521B2DB9" w14:textId="4B172DB1" w:rsidR="0009074C" w:rsidRDefault="00673F73" w:rsidP="003F2704">
      <w:pPr>
        <w:jc w:val="both"/>
        <w:rPr>
          <w:rFonts w:ascii="Times New Roman" w:hAnsi="Times New Roman" w:cs="Times New Roman"/>
        </w:rPr>
      </w:pPr>
      <w:r>
        <w:rPr>
          <w:rFonts w:ascii="Times New Roman" w:hAnsi="Times New Roman" w:cs="Times New Roman"/>
        </w:rPr>
        <w:t xml:space="preserve">Desk study data collection for the LVIA consisted of; utilising Ordnance Survey mapping and aerial photography, utilising various published Landscape Character Assessments </w:t>
      </w:r>
      <w:r w:rsidR="00693626">
        <w:rPr>
          <w:rFonts w:ascii="Times New Roman" w:hAnsi="Times New Roman" w:cs="Times New Roman"/>
        </w:rPr>
        <w:t xml:space="preserve">(LCAs) </w:t>
      </w:r>
      <w:r>
        <w:rPr>
          <w:rFonts w:ascii="Times New Roman" w:hAnsi="Times New Roman" w:cs="Times New Roman"/>
        </w:rPr>
        <w:t xml:space="preserve">and other forms of photography. Some site-based studies involved gathering further information of landscape elements, the capacity for screening </w:t>
      </w:r>
      <w:r w:rsidR="0009074C">
        <w:rPr>
          <w:rFonts w:ascii="Times New Roman" w:hAnsi="Times New Roman" w:cs="Times New Roman"/>
        </w:rPr>
        <w:t xml:space="preserve">by tree cover and collecting imagery from certain locations on-site that the development will be visible from in order to determine the levels of visual disruption. </w:t>
      </w:r>
      <w:r w:rsidR="007B14AD">
        <w:rPr>
          <w:rFonts w:ascii="Times New Roman" w:hAnsi="Times New Roman" w:cs="Times New Roman"/>
        </w:rPr>
        <w:t>The consultation phase was described as a singular interaction with Midlothian Counci</w:t>
      </w:r>
      <w:r w:rsidR="0009074C">
        <w:rPr>
          <w:rFonts w:ascii="Times New Roman" w:hAnsi="Times New Roman" w:cs="Times New Roman"/>
        </w:rPr>
        <w:t>l</w:t>
      </w:r>
      <w:r w:rsidR="007B14AD">
        <w:rPr>
          <w:rFonts w:ascii="Times New Roman" w:hAnsi="Times New Roman" w:cs="Times New Roman"/>
        </w:rPr>
        <w:t xml:space="preserve"> where Sweco consultants shared a list of 8 viewpoints</w:t>
      </w:r>
      <w:r w:rsidR="00476872">
        <w:rPr>
          <w:rFonts w:ascii="Times New Roman" w:hAnsi="Times New Roman" w:cs="Times New Roman"/>
        </w:rPr>
        <w:t xml:space="preserve"> within a 2km radius</w:t>
      </w:r>
      <w:r w:rsidR="007B14AD">
        <w:rPr>
          <w:rFonts w:ascii="Times New Roman" w:hAnsi="Times New Roman" w:cs="Times New Roman"/>
        </w:rPr>
        <w:t xml:space="preserve"> </w:t>
      </w:r>
      <w:r w:rsidR="0009074C">
        <w:rPr>
          <w:rFonts w:ascii="Times New Roman" w:hAnsi="Times New Roman" w:cs="Times New Roman"/>
        </w:rPr>
        <w:t xml:space="preserve">of the development site </w:t>
      </w:r>
      <w:r w:rsidR="007B14AD">
        <w:rPr>
          <w:rFonts w:ascii="Times New Roman" w:hAnsi="Times New Roman" w:cs="Times New Roman"/>
        </w:rPr>
        <w:t>with the Council</w:t>
      </w:r>
      <w:r w:rsidR="0009074C">
        <w:rPr>
          <w:rFonts w:ascii="Times New Roman" w:hAnsi="Times New Roman" w:cs="Times New Roman"/>
        </w:rPr>
        <w:t>,</w:t>
      </w:r>
      <w:r w:rsidR="007B14AD">
        <w:rPr>
          <w:rFonts w:ascii="Times New Roman" w:hAnsi="Times New Roman" w:cs="Times New Roman"/>
        </w:rPr>
        <w:t xml:space="preserve"> inviting comments upon whether the development would have a negative impact upon these areas as viewpoints for general public. The council provided comments </w:t>
      </w:r>
      <w:r w:rsidR="007F6A3E">
        <w:rPr>
          <w:rFonts w:ascii="Times New Roman" w:hAnsi="Times New Roman" w:cs="Times New Roman"/>
        </w:rPr>
        <w:t xml:space="preserve">on each of the viewpoints, </w:t>
      </w:r>
      <w:r w:rsidR="00476872">
        <w:rPr>
          <w:rFonts w:ascii="Times New Roman" w:hAnsi="Times New Roman" w:cs="Times New Roman"/>
        </w:rPr>
        <w:t>amending one of the viewpoints</w:t>
      </w:r>
      <w:r w:rsidR="0009074C">
        <w:rPr>
          <w:rFonts w:ascii="Times New Roman" w:hAnsi="Times New Roman" w:cs="Times New Roman"/>
        </w:rPr>
        <w:t xml:space="preserve"> locations</w:t>
      </w:r>
      <w:r w:rsidR="00476872">
        <w:rPr>
          <w:rFonts w:ascii="Times New Roman" w:hAnsi="Times New Roman" w:cs="Times New Roman"/>
        </w:rPr>
        <w:t xml:space="preserve"> and requesting an additional 2 viewpoints that lie beyond the 2km radius be considered due to the high level of footfall and recreational use they receive (</w:t>
      </w:r>
      <w:r w:rsidR="0009074C">
        <w:rPr>
          <w:rFonts w:ascii="Times New Roman" w:hAnsi="Times New Roman" w:cs="Times New Roman"/>
        </w:rPr>
        <w:t xml:space="preserve">the </w:t>
      </w:r>
      <w:r w:rsidR="00476872">
        <w:rPr>
          <w:rFonts w:ascii="Times New Roman" w:hAnsi="Times New Roman" w:cs="Times New Roman"/>
        </w:rPr>
        <w:t>Braid Hills and Arthurs Seat).</w:t>
      </w:r>
    </w:p>
    <w:p w14:paraId="694F753C" w14:textId="2851648D" w:rsidR="0009074C" w:rsidRDefault="0009074C" w:rsidP="003F2704">
      <w:pPr>
        <w:jc w:val="both"/>
        <w:rPr>
          <w:rFonts w:ascii="Times New Roman" w:hAnsi="Times New Roman" w:cs="Times New Roman"/>
        </w:rPr>
      </w:pPr>
    </w:p>
    <w:p w14:paraId="558B4253" w14:textId="4D3577B3" w:rsidR="0009074C" w:rsidRDefault="0009074C" w:rsidP="003F2704">
      <w:pPr>
        <w:jc w:val="both"/>
        <w:rPr>
          <w:rFonts w:ascii="Times New Roman" w:hAnsi="Times New Roman" w:cs="Times New Roman"/>
        </w:rPr>
      </w:pPr>
      <w:r>
        <w:rPr>
          <w:rFonts w:ascii="Times New Roman" w:hAnsi="Times New Roman" w:cs="Times New Roman"/>
        </w:rPr>
        <w:t xml:space="preserve">In terms of both the landscape and the visual aspects of assessing each viewpoint, a similar technique was used. Both were determined on; ‘the degree of change that takes place’, ‘the </w:t>
      </w:r>
      <w:r>
        <w:rPr>
          <w:rFonts w:ascii="Times New Roman" w:hAnsi="Times New Roman" w:cs="Times New Roman"/>
        </w:rPr>
        <w:lastRenderedPageBreak/>
        <w:t xml:space="preserve">geographical extent of the area that would be changed/be newly visible’, ‘the likely duration of the change’ and ‘whether or not the change is reversible’. A judgement was to be made upon each of these </w:t>
      </w:r>
      <w:r w:rsidR="00AC4D48">
        <w:rPr>
          <w:rFonts w:ascii="Times New Roman" w:hAnsi="Times New Roman" w:cs="Times New Roman"/>
        </w:rPr>
        <w:t xml:space="preserve">factors, using ‘professional judgement’, and then each being prescribed to the categories of either ‘significant’ or ‘not significant’.  Whilst Sweco’s ‘professional judgment’ is most likely of a very high standard of reliability, perhaps an actual published guideline on the subject should have been used. The EIA carried out upon the Forth </w:t>
      </w:r>
      <w:r w:rsidR="00CD68DB">
        <w:rPr>
          <w:rFonts w:ascii="Times New Roman" w:hAnsi="Times New Roman" w:cs="Times New Roman"/>
        </w:rPr>
        <w:t>Replacement</w:t>
      </w:r>
      <w:r w:rsidR="00AC4D48">
        <w:rPr>
          <w:rFonts w:ascii="Times New Roman" w:hAnsi="Times New Roman" w:cs="Times New Roman"/>
        </w:rPr>
        <w:t xml:space="preserve"> Crossing by Jacob’s </w:t>
      </w:r>
      <w:r w:rsidR="00550440">
        <w:rPr>
          <w:rFonts w:ascii="Times New Roman" w:hAnsi="Times New Roman" w:cs="Times New Roman"/>
        </w:rPr>
        <w:t xml:space="preserve">(Jacobs, 2009) </w:t>
      </w:r>
      <w:r w:rsidR="00AC4D48">
        <w:rPr>
          <w:rFonts w:ascii="Times New Roman" w:hAnsi="Times New Roman" w:cs="Times New Roman"/>
        </w:rPr>
        <w:t>utilised several published and well</w:t>
      </w:r>
      <w:r w:rsidR="00CD68DB">
        <w:rPr>
          <w:rFonts w:ascii="Times New Roman" w:hAnsi="Times New Roman" w:cs="Times New Roman"/>
        </w:rPr>
        <w:t>-</w:t>
      </w:r>
      <w:r w:rsidR="00AC4D48">
        <w:rPr>
          <w:rFonts w:ascii="Times New Roman" w:hAnsi="Times New Roman" w:cs="Times New Roman"/>
        </w:rPr>
        <w:t xml:space="preserve">established supplementary guidelines for assessing the impacts upon the landscape and visual environment e.g. </w:t>
      </w:r>
      <w:r w:rsidR="00CD68DB">
        <w:rPr>
          <w:rFonts w:ascii="Times New Roman" w:hAnsi="Times New Roman" w:cs="Times New Roman"/>
        </w:rPr>
        <w:t xml:space="preserve">Landscape and Visual Assessment and supplementary guidance (Scottish Executive, 2002), or </w:t>
      </w:r>
      <w:r w:rsidR="00B80276" w:rsidRPr="00B80276">
        <w:rPr>
          <w:rFonts w:ascii="Times New Roman" w:hAnsi="Times New Roman" w:cs="Times New Roman"/>
        </w:rPr>
        <w:t>Guidelines for Landscape and Visual Impact Assessmen</w:t>
      </w:r>
      <w:r w:rsidR="00B80276">
        <w:rPr>
          <w:rFonts w:ascii="Times New Roman" w:hAnsi="Times New Roman" w:cs="Times New Roman"/>
        </w:rPr>
        <w:t>t (IEMA, 2002)</w:t>
      </w:r>
      <w:r w:rsidR="00CD68DB">
        <w:rPr>
          <w:rFonts w:ascii="Times New Roman" w:hAnsi="Times New Roman" w:cs="Times New Roman"/>
        </w:rPr>
        <w:t>. Using an industry accepted guideline as a baseline would increase the credibility of Sweco’s response and provide reinforcement for their advice.</w:t>
      </w:r>
    </w:p>
    <w:p w14:paraId="3A6CD62D" w14:textId="7C61495F" w:rsidR="00693626" w:rsidRDefault="00693626" w:rsidP="003F2704">
      <w:pPr>
        <w:jc w:val="both"/>
        <w:rPr>
          <w:rFonts w:ascii="Times New Roman" w:hAnsi="Times New Roman" w:cs="Times New Roman"/>
        </w:rPr>
      </w:pPr>
    </w:p>
    <w:p w14:paraId="3B48B73A" w14:textId="18FE5D23" w:rsidR="00693626" w:rsidRDefault="00693626" w:rsidP="00693626">
      <w:pPr>
        <w:tabs>
          <w:tab w:val="left" w:pos="5469"/>
        </w:tabs>
        <w:jc w:val="both"/>
        <w:rPr>
          <w:rFonts w:ascii="Times New Roman" w:hAnsi="Times New Roman" w:cs="Times New Roman"/>
        </w:rPr>
      </w:pPr>
      <w:r>
        <w:rPr>
          <w:rFonts w:ascii="Times New Roman" w:hAnsi="Times New Roman" w:cs="Times New Roman"/>
        </w:rPr>
        <w:t>The LCA publications used were Scottish National Heritage’s (SNH) ‘National LCA map’ and the City of Edinburgh Council’s ‘Edinburgh LCA map’</w:t>
      </w:r>
      <w:r w:rsidR="00D97815">
        <w:rPr>
          <w:rFonts w:ascii="Times New Roman" w:hAnsi="Times New Roman" w:cs="Times New Roman"/>
        </w:rPr>
        <w:t>, both of which were deemed to provide an appropriate level of detail for assessments to be made</w:t>
      </w:r>
      <w:r w:rsidR="00FE1BCD">
        <w:rPr>
          <w:rFonts w:ascii="Times New Roman" w:hAnsi="Times New Roman" w:cs="Times New Roman"/>
        </w:rPr>
        <w:t xml:space="preserve"> but the Edinburgh LCA being in greater detail over the site</w:t>
      </w:r>
      <w:r w:rsidR="00D97815">
        <w:rPr>
          <w:rFonts w:ascii="Times New Roman" w:hAnsi="Times New Roman" w:cs="Times New Roman"/>
        </w:rPr>
        <w:t xml:space="preserve">. Additionally, the 10 viewpoint sites were </w:t>
      </w:r>
      <w:r w:rsidR="00FE1BCD">
        <w:rPr>
          <w:rFonts w:ascii="Times New Roman" w:hAnsi="Times New Roman" w:cs="Times New Roman"/>
        </w:rPr>
        <w:t>visited,</w:t>
      </w:r>
      <w:r w:rsidR="00D97815">
        <w:rPr>
          <w:rFonts w:ascii="Times New Roman" w:hAnsi="Times New Roman" w:cs="Times New Roman"/>
        </w:rPr>
        <w:t xml:space="preserve"> and photographs were taken from each point to as supporting evidence</w:t>
      </w:r>
      <w:r w:rsidR="00A724F8">
        <w:rPr>
          <w:rFonts w:ascii="Times New Roman" w:hAnsi="Times New Roman" w:cs="Times New Roman"/>
        </w:rPr>
        <w:t xml:space="preserve"> for the designated prescription to an either significant or insignificant effect on landscape and visuals.</w:t>
      </w:r>
      <w:r w:rsidR="00FE1BCD">
        <w:rPr>
          <w:rFonts w:ascii="Times New Roman" w:hAnsi="Times New Roman" w:cs="Times New Roman"/>
        </w:rPr>
        <w:t xml:space="preserve"> Each of the 10 viewpoints were assessed and categorised with a summary statement. Reasoning often included reference to social factors, recreational footfall, cultural heritage or visual important for the local community. </w:t>
      </w:r>
    </w:p>
    <w:p w14:paraId="7147D8DC" w14:textId="6C576542" w:rsidR="00B91A21" w:rsidRDefault="00B91A21" w:rsidP="00693626">
      <w:pPr>
        <w:tabs>
          <w:tab w:val="left" w:pos="5469"/>
        </w:tabs>
        <w:jc w:val="both"/>
        <w:rPr>
          <w:rFonts w:ascii="Times New Roman" w:hAnsi="Times New Roman" w:cs="Times New Roman"/>
        </w:rPr>
      </w:pPr>
    </w:p>
    <w:p w14:paraId="6FD48032" w14:textId="6394EBCE" w:rsidR="00B91A21" w:rsidRDefault="00B91A21" w:rsidP="00693626">
      <w:pPr>
        <w:tabs>
          <w:tab w:val="left" w:pos="5469"/>
        </w:tabs>
        <w:jc w:val="both"/>
        <w:rPr>
          <w:rFonts w:ascii="Times New Roman" w:hAnsi="Times New Roman" w:cs="Times New Roman"/>
        </w:rPr>
      </w:pPr>
      <w:r>
        <w:rPr>
          <w:rFonts w:ascii="Times New Roman" w:hAnsi="Times New Roman" w:cs="Times New Roman"/>
        </w:rPr>
        <w:t xml:space="preserve">Mitigation and ‘enhancement measures’ are offered toward the end of the chapter, but they are very vague and broad. It recommends that the development should incorporate a soft landscape scheme in order to compensate for loss of tree cover from the construction phase. Besides that, no other mitigation is recommended or suggested, which could be construed as slightly poor. </w:t>
      </w:r>
    </w:p>
    <w:p w14:paraId="63273711" w14:textId="72788354" w:rsidR="00B91A21" w:rsidRDefault="00B91A21" w:rsidP="00693626">
      <w:pPr>
        <w:tabs>
          <w:tab w:val="left" w:pos="5469"/>
        </w:tabs>
        <w:jc w:val="both"/>
        <w:rPr>
          <w:rFonts w:ascii="Times New Roman" w:hAnsi="Times New Roman" w:cs="Times New Roman"/>
        </w:rPr>
      </w:pPr>
    </w:p>
    <w:p w14:paraId="55660987" w14:textId="77777777" w:rsidR="00B80276" w:rsidRDefault="00B91A21" w:rsidP="00693626">
      <w:pPr>
        <w:tabs>
          <w:tab w:val="left" w:pos="5469"/>
        </w:tabs>
        <w:jc w:val="both"/>
        <w:rPr>
          <w:rFonts w:ascii="Times New Roman" w:hAnsi="Times New Roman" w:cs="Times New Roman"/>
        </w:rPr>
      </w:pPr>
      <w:r>
        <w:rPr>
          <w:rFonts w:ascii="Times New Roman" w:hAnsi="Times New Roman" w:cs="Times New Roman"/>
        </w:rPr>
        <w:t xml:space="preserve">The chapter is then closed with a list of the potential cumulative effects and residual effects that could arise from the proposed development. Two other potential projects in the near vicinity could also be approved for construction which would increase the negative impact on the local landscape, both physically and visually. The EIA does not provide any form of mitigation for these cumulative effects should they </w:t>
      </w:r>
      <w:r w:rsidR="00B80276">
        <w:rPr>
          <w:rFonts w:ascii="Times New Roman" w:hAnsi="Times New Roman" w:cs="Times New Roman"/>
        </w:rPr>
        <w:t>occur;</w:t>
      </w:r>
      <w:r>
        <w:rPr>
          <w:rFonts w:ascii="Times New Roman" w:hAnsi="Times New Roman" w:cs="Times New Roman"/>
        </w:rPr>
        <w:t xml:space="preserve"> however, it would seem appropriate to plan ahead and create a potential strategy or mitigatory methods for addressing these effects.</w:t>
      </w:r>
      <w:r w:rsidR="00B80276">
        <w:rPr>
          <w:rFonts w:ascii="Times New Roman" w:hAnsi="Times New Roman" w:cs="Times New Roman"/>
        </w:rPr>
        <w:t xml:space="preserve"> </w:t>
      </w:r>
    </w:p>
    <w:p w14:paraId="77FE43FF" w14:textId="77777777" w:rsidR="00B80276" w:rsidRDefault="00B80276" w:rsidP="00693626">
      <w:pPr>
        <w:tabs>
          <w:tab w:val="left" w:pos="5469"/>
        </w:tabs>
        <w:jc w:val="both"/>
        <w:rPr>
          <w:rFonts w:ascii="Times New Roman" w:hAnsi="Times New Roman" w:cs="Times New Roman"/>
        </w:rPr>
      </w:pPr>
    </w:p>
    <w:p w14:paraId="0265A191" w14:textId="61D3A38A" w:rsidR="00B80276" w:rsidRDefault="00B80276" w:rsidP="00693626">
      <w:pPr>
        <w:tabs>
          <w:tab w:val="left" w:pos="5469"/>
        </w:tabs>
        <w:jc w:val="both"/>
        <w:rPr>
          <w:rFonts w:ascii="Times New Roman" w:hAnsi="Times New Roman" w:cs="Times New Roman"/>
        </w:rPr>
      </w:pPr>
      <w:r>
        <w:rPr>
          <w:rFonts w:ascii="Times New Roman" w:hAnsi="Times New Roman" w:cs="Times New Roman"/>
        </w:rPr>
        <w:t>The project design is then deemed to have no significant residual effects during the construction or operational phase in terms of landscape or visual effects. However, due to the lack of consultees, and considering the only consultee was in actual fact the owner of the facility themselves, perhaps a greater effort could have been made to determine the predicted impact from other sources or social groups.</w:t>
      </w:r>
    </w:p>
    <w:p w14:paraId="65F82A49" w14:textId="3B9ECA66" w:rsidR="00CD68DB" w:rsidRDefault="00CD68DB" w:rsidP="003F2704">
      <w:pPr>
        <w:jc w:val="both"/>
        <w:rPr>
          <w:rFonts w:ascii="Times New Roman" w:hAnsi="Times New Roman" w:cs="Times New Roman"/>
        </w:rPr>
      </w:pPr>
    </w:p>
    <w:p w14:paraId="45C2A6C3" w14:textId="0C0C3BA3" w:rsidR="007505D8" w:rsidRDefault="00550440" w:rsidP="003F2704">
      <w:pPr>
        <w:jc w:val="both"/>
        <w:rPr>
          <w:rFonts w:ascii="Times New Roman" w:hAnsi="Times New Roman" w:cs="Times New Roman"/>
        </w:rPr>
      </w:pPr>
      <w:r w:rsidRPr="00220BE4">
        <w:rPr>
          <w:rFonts w:ascii="Times New Roman" w:hAnsi="Times New Roman" w:cs="Times New Roman"/>
          <w:u w:val="single"/>
        </w:rPr>
        <w:t>Discussion on Environmental Impact Assessments addressing Sustainability</w:t>
      </w:r>
      <w:r>
        <w:rPr>
          <w:rFonts w:ascii="Times New Roman" w:hAnsi="Times New Roman" w:cs="Times New Roman"/>
        </w:rPr>
        <w:t>:</w:t>
      </w:r>
    </w:p>
    <w:p w14:paraId="4D363522" w14:textId="6095BDA1" w:rsidR="003D5E5A" w:rsidRDefault="003D63B3" w:rsidP="003F2704">
      <w:pPr>
        <w:jc w:val="both"/>
        <w:rPr>
          <w:rFonts w:ascii="Times New Roman" w:hAnsi="Times New Roman" w:cs="Times New Roman"/>
        </w:rPr>
      </w:pPr>
      <w:r>
        <w:rPr>
          <w:rFonts w:ascii="Times New Roman" w:hAnsi="Times New Roman" w:cs="Times New Roman"/>
        </w:rPr>
        <w:t xml:space="preserve">Environmental Impact Assessments (EIA’s) should always, but often are not, be completed prior to any major financial backing to allow for any necessary amendments to be made to the project plan. However, this is easier said than done, as two of the largest barriers to successful implementation of EIA’s are time pressure and lack of funding </w:t>
      </w:r>
      <w:sdt>
        <w:sdtPr>
          <w:rPr>
            <w:rFonts w:ascii="Times New Roman" w:hAnsi="Times New Roman" w:cs="Times New Roman"/>
            <w:color w:val="000000"/>
          </w:rPr>
          <w:tag w:val="MENDELEY_CITATION_40602290-325b-4226-b66c-c5bc69f7c7f3"/>
          <w:id w:val="580253824"/>
          <w:placeholder>
            <w:docPart w:val="DefaultPlaceholder_-1854013440"/>
          </w:placeholder>
        </w:sdtPr>
        <w:sdtContent>
          <w:r w:rsidR="00A36204" w:rsidRPr="00A36204">
            <w:rPr>
              <w:rFonts w:ascii="Times New Roman" w:hAnsi="Times New Roman" w:cs="Times New Roman"/>
              <w:color w:val="000000"/>
            </w:rPr>
            <w:t>(Wright et al., 2013)</w:t>
          </w:r>
        </w:sdtContent>
      </w:sdt>
      <w:r>
        <w:rPr>
          <w:rFonts w:ascii="Times New Roman" w:hAnsi="Times New Roman" w:cs="Times New Roman"/>
        </w:rPr>
        <w:t xml:space="preserve"> Too often, consultants are not given enough time to execute sufficient scoping or carry out enough research, with project or legislative deadlines looming</w:t>
      </w:r>
      <w:r w:rsidR="00021F4F">
        <w:rPr>
          <w:rFonts w:ascii="Times New Roman" w:hAnsi="Times New Roman" w:cs="Times New Roman"/>
        </w:rPr>
        <w:t>, so the resulting assessment is not as effective as it should be</w:t>
      </w:r>
      <w:r>
        <w:rPr>
          <w:rFonts w:ascii="Times New Roman" w:hAnsi="Times New Roman" w:cs="Times New Roman"/>
        </w:rPr>
        <w:t xml:space="preserve">. A lack of early and effective scoping can alter the rest of the project by create diversions or often an increased workload further down the line. </w:t>
      </w:r>
      <w:r w:rsidR="00021F4F">
        <w:rPr>
          <w:rFonts w:ascii="Times New Roman" w:hAnsi="Times New Roman" w:cs="Times New Roman"/>
        </w:rPr>
        <w:t xml:space="preserve">A higher level of </w:t>
      </w:r>
      <w:r w:rsidR="00021F4F">
        <w:rPr>
          <w:rFonts w:ascii="Times New Roman" w:hAnsi="Times New Roman" w:cs="Times New Roman"/>
        </w:rPr>
        <w:lastRenderedPageBreak/>
        <w:t xml:space="preserve">interaction with relevant stakeholders within the scoping part of the assessment could aid to prevent backlash and any potential stalling of the project, as well as producing a more holistic yet in-depth assessment </w:t>
      </w:r>
      <w:sdt>
        <w:sdtPr>
          <w:rPr>
            <w:rFonts w:ascii="Times New Roman" w:hAnsi="Times New Roman" w:cs="Times New Roman"/>
            <w:color w:val="000000"/>
          </w:rPr>
          <w:tag w:val="MENDELEY_CITATION_57213d25-7f8e-4791-b821-5d34684608ec"/>
          <w:id w:val="1350752904"/>
          <w:placeholder>
            <w:docPart w:val="DefaultPlaceholder_-1854013440"/>
          </w:placeholder>
        </w:sdtPr>
        <w:sdtContent>
          <w:r w:rsidR="00A36204" w:rsidRPr="00A36204">
            <w:rPr>
              <w:rFonts w:ascii="Times New Roman" w:hAnsi="Times New Roman" w:cs="Times New Roman"/>
              <w:color w:val="000000"/>
            </w:rPr>
            <w:t>(</w:t>
          </w:r>
          <w:proofErr w:type="spellStart"/>
          <w:r w:rsidR="00A36204" w:rsidRPr="00A36204">
            <w:rPr>
              <w:rFonts w:ascii="Times New Roman" w:hAnsi="Times New Roman" w:cs="Times New Roman"/>
              <w:color w:val="000000"/>
            </w:rPr>
            <w:t>Finnveden</w:t>
          </w:r>
          <w:proofErr w:type="spellEnd"/>
          <w:r w:rsidR="00A36204" w:rsidRPr="00A36204">
            <w:rPr>
              <w:rFonts w:ascii="Times New Roman" w:hAnsi="Times New Roman" w:cs="Times New Roman"/>
              <w:color w:val="000000"/>
            </w:rPr>
            <w:t xml:space="preserve"> et al., 2003)</w:t>
          </w:r>
        </w:sdtContent>
      </w:sdt>
      <w:r w:rsidR="00021F4F">
        <w:rPr>
          <w:rFonts w:ascii="Times New Roman" w:hAnsi="Times New Roman" w:cs="Times New Roman"/>
        </w:rPr>
        <w:t xml:space="preserve"> As we strive for sustainability within </w:t>
      </w:r>
      <w:r w:rsidR="006F6CF2">
        <w:rPr>
          <w:rFonts w:ascii="Times New Roman" w:hAnsi="Times New Roman" w:cs="Times New Roman"/>
        </w:rPr>
        <w:t>planning, the view that some developers, stakeholders or investors share of EIA’s just being a menial but necessary phase of development that can be rushed through with minimal expenditure, effort and investment of time, must be expelled.</w:t>
      </w:r>
      <w:r w:rsidR="00073C86">
        <w:rPr>
          <w:rFonts w:ascii="Times New Roman" w:hAnsi="Times New Roman" w:cs="Times New Roman"/>
        </w:rPr>
        <w:t xml:space="preserve"> Rushing through an EIA and attempting to cut corners can prove costly to both the developers or owners, and/or the environment and wider community too. </w:t>
      </w:r>
    </w:p>
    <w:p w14:paraId="4C54F808" w14:textId="77777777" w:rsidR="003D5E5A" w:rsidRDefault="003D5E5A" w:rsidP="003F2704">
      <w:pPr>
        <w:jc w:val="both"/>
        <w:rPr>
          <w:rFonts w:ascii="Times New Roman" w:hAnsi="Times New Roman" w:cs="Times New Roman"/>
        </w:rPr>
      </w:pPr>
    </w:p>
    <w:p w14:paraId="4846571D" w14:textId="170B5A15" w:rsidR="003D5E5A" w:rsidRDefault="00073C86" w:rsidP="003F2704">
      <w:pPr>
        <w:jc w:val="both"/>
        <w:rPr>
          <w:rFonts w:ascii="Times New Roman" w:hAnsi="Times New Roman" w:cs="Times New Roman"/>
        </w:rPr>
      </w:pPr>
      <w:r>
        <w:rPr>
          <w:rFonts w:ascii="Times New Roman" w:hAnsi="Times New Roman" w:cs="Times New Roman"/>
        </w:rPr>
        <w:t>The full extent of human activities or developments are rarely, if ever, fully known, especially when you consider that every development site is different and comes along with its own parameters, which aren’t always immediately obvious - developments can cause antagonistic responses from the</w:t>
      </w:r>
      <w:r w:rsidR="003D5E5A">
        <w:rPr>
          <w:rFonts w:ascii="Times New Roman" w:hAnsi="Times New Roman" w:cs="Times New Roman"/>
        </w:rPr>
        <w:t xml:space="preserve"> natural</w:t>
      </w:r>
      <w:r>
        <w:rPr>
          <w:rFonts w:ascii="Times New Roman" w:hAnsi="Times New Roman" w:cs="Times New Roman"/>
        </w:rPr>
        <w:t xml:space="preserve"> environment they are erected within </w:t>
      </w:r>
      <w:sdt>
        <w:sdtPr>
          <w:rPr>
            <w:rFonts w:ascii="Times New Roman" w:hAnsi="Times New Roman" w:cs="Times New Roman"/>
            <w:color w:val="000000"/>
          </w:rPr>
          <w:tag w:val="MENDELEY_CITATION_41ec9896-b91f-4605-816a-bd0feb9b1071"/>
          <w:id w:val="1817997526"/>
          <w:placeholder>
            <w:docPart w:val="DefaultPlaceholder_-1854013440"/>
          </w:placeholder>
        </w:sdtPr>
        <w:sdtContent>
          <w:r w:rsidR="00A36204" w:rsidRPr="00A36204">
            <w:rPr>
              <w:rFonts w:ascii="Times New Roman" w:hAnsi="Times New Roman" w:cs="Times New Roman"/>
              <w:color w:val="000000"/>
            </w:rPr>
            <w:t>(Wright et al., 2013)</w:t>
          </w:r>
        </w:sdtContent>
      </w:sdt>
      <w:r>
        <w:rPr>
          <w:rFonts w:ascii="Times New Roman" w:hAnsi="Times New Roman" w:cs="Times New Roman"/>
        </w:rPr>
        <w:t>. Therefore, ecosystem services and physical features</w:t>
      </w:r>
      <w:r w:rsidR="003D5E5A">
        <w:rPr>
          <w:rFonts w:ascii="Times New Roman" w:hAnsi="Times New Roman" w:cs="Times New Roman"/>
        </w:rPr>
        <w:t xml:space="preserve"> of the environment should receive much more interest during planning and should be prioritised. A full assessment of ecosystem services and provision of natural capital existing, and potentially existing, on the desired site for development should be carried out within the EIA</w:t>
      </w:r>
      <w:r w:rsidR="00F31FC3">
        <w:rPr>
          <w:rFonts w:ascii="Times New Roman" w:hAnsi="Times New Roman" w:cs="Times New Roman"/>
        </w:rPr>
        <w:t xml:space="preserve"> </w:t>
      </w:r>
      <w:sdt>
        <w:sdtPr>
          <w:rPr>
            <w:rFonts w:ascii="Times New Roman" w:hAnsi="Times New Roman" w:cs="Times New Roman"/>
            <w:color w:val="000000"/>
          </w:rPr>
          <w:tag w:val="MENDELEY_CITATION_0fca3916-69c7-430a-9748-cab8c63c8578"/>
          <w:id w:val="482743837"/>
          <w:placeholder>
            <w:docPart w:val="DefaultPlaceholder_-1854013440"/>
          </w:placeholder>
        </w:sdtPr>
        <w:sdtContent>
          <w:r w:rsidR="00A36204" w:rsidRPr="00A36204">
            <w:rPr>
              <w:rFonts w:ascii="Times New Roman" w:hAnsi="Times New Roman" w:cs="Times New Roman"/>
              <w:color w:val="000000"/>
            </w:rPr>
            <w:t>(Bond et al., 2009)</w:t>
          </w:r>
        </w:sdtContent>
      </w:sdt>
      <w:r w:rsidR="003D5E5A">
        <w:rPr>
          <w:rFonts w:ascii="Times New Roman" w:hAnsi="Times New Roman" w:cs="Times New Roman"/>
        </w:rPr>
        <w:t xml:space="preserve">. The precautionary principle should be always be exercised. For example, mass clearings of woodland or vegetation for development upstream could have significant impacts on the wider ecosystem, potentially causing erosion or flooding downstream. </w:t>
      </w:r>
    </w:p>
    <w:p w14:paraId="6017CDBA" w14:textId="5DF65722" w:rsidR="003D5E5A" w:rsidRDefault="003D5E5A" w:rsidP="003F2704">
      <w:pPr>
        <w:jc w:val="both"/>
        <w:rPr>
          <w:rFonts w:ascii="Times New Roman" w:hAnsi="Times New Roman" w:cs="Times New Roman"/>
        </w:rPr>
      </w:pPr>
    </w:p>
    <w:p w14:paraId="4E79AAB6" w14:textId="4B54CB43" w:rsidR="003D5E5A" w:rsidRDefault="003D5E5A" w:rsidP="003F2704">
      <w:pPr>
        <w:jc w:val="both"/>
        <w:rPr>
          <w:rFonts w:ascii="Times New Roman" w:hAnsi="Times New Roman" w:cs="Times New Roman"/>
          <w:color w:val="000000"/>
        </w:rPr>
      </w:pPr>
      <w:r>
        <w:rPr>
          <w:rFonts w:ascii="Times New Roman" w:hAnsi="Times New Roman" w:cs="Times New Roman"/>
        </w:rPr>
        <w:t>Cumulative effects should always hold a much more prominent position within EIA’s</w:t>
      </w:r>
      <w:r w:rsidR="007076CB">
        <w:rPr>
          <w:rFonts w:ascii="Times New Roman" w:hAnsi="Times New Roman" w:cs="Times New Roman"/>
        </w:rPr>
        <w:t xml:space="preserve"> and the potential effects of them should have planned strategies. Using the method would encourage deeper rooted thought and investigation into the potential long-term impacts that the development could have on the surrounding site and its community. Sustainability can only be achieved if long-term</w:t>
      </w:r>
      <w:r w:rsidR="00BE1E3A">
        <w:rPr>
          <w:rFonts w:ascii="Times New Roman" w:hAnsi="Times New Roman" w:cs="Times New Roman"/>
        </w:rPr>
        <w:t>, preventative and</w:t>
      </w:r>
      <w:r w:rsidR="007076CB">
        <w:rPr>
          <w:rFonts w:ascii="Times New Roman" w:hAnsi="Times New Roman" w:cs="Times New Roman"/>
        </w:rPr>
        <w:t xml:space="preserve"> </w:t>
      </w:r>
      <w:r w:rsidR="00BE1E3A">
        <w:rPr>
          <w:rFonts w:ascii="Times New Roman" w:hAnsi="Times New Roman" w:cs="Times New Roman"/>
        </w:rPr>
        <w:t xml:space="preserve">anticipatory </w:t>
      </w:r>
      <w:r w:rsidR="007076CB">
        <w:rPr>
          <w:rFonts w:ascii="Times New Roman" w:hAnsi="Times New Roman" w:cs="Times New Roman"/>
        </w:rPr>
        <w:t>future planning is considered, even within the smaller projects</w:t>
      </w:r>
      <w:r w:rsidR="00BE1E3A">
        <w:rPr>
          <w:rFonts w:ascii="Times New Roman" w:hAnsi="Times New Roman" w:cs="Times New Roman"/>
        </w:rPr>
        <w:t xml:space="preserve"> (Warren, 2009)</w:t>
      </w:r>
      <w:r w:rsidR="007076CB">
        <w:rPr>
          <w:rFonts w:ascii="Times New Roman" w:hAnsi="Times New Roman" w:cs="Times New Roman"/>
        </w:rPr>
        <w:t>. Which brings the next point into relevance; EIA’s should be audited to check for shortcomings</w:t>
      </w:r>
      <w:r w:rsidR="006A384D">
        <w:rPr>
          <w:rFonts w:ascii="Times New Roman" w:hAnsi="Times New Roman" w:cs="Times New Roman"/>
        </w:rPr>
        <w:t xml:space="preserve"> (Wright et al., 2013)</w:t>
      </w:r>
      <w:r w:rsidR="007076CB">
        <w:rPr>
          <w:rFonts w:ascii="Times New Roman" w:hAnsi="Times New Roman" w:cs="Times New Roman"/>
        </w:rPr>
        <w:t xml:space="preserve">. Developers often choose the cheaper contractors or those who will complete the EIA in the shortest time, resulting in a poorer standard of assessment. Therefore, in order to ensure that EIA’s are always carried out to a high standard, an auditing service for EIA’s should be created, whether that role be taken on by the local, regional or governmental planning authorities or independent EIA review bodies are commissioned </w:t>
      </w:r>
      <w:sdt>
        <w:sdtPr>
          <w:rPr>
            <w:rFonts w:ascii="Times New Roman" w:hAnsi="Times New Roman" w:cs="Times New Roman"/>
            <w:color w:val="000000"/>
          </w:rPr>
          <w:tag w:val="MENDELEY_CITATION_ac374099-f8da-4fd8-8ac7-b326999e20a5"/>
          <w:id w:val="-655837748"/>
          <w:placeholder>
            <w:docPart w:val="DefaultPlaceholder_-1854013440"/>
          </w:placeholder>
        </w:sdtPr>
        <w:sdtContent>
          <w:r w:rsidR="00A36204" w:rsidRPr="00A36204">
            <w:rPr>
              <w:rFonts w:ascii="Times New Roman" w:hAnsi="Times New Roman" w:cs="Times New Roman"/>
              <w:color w:val="000000"/>
            </w:rPr>
            <w:t>(Lee and Colley, 1991)</w:t>
          </w:r>
        </w:sdtContent>
      </w:sdt>
      <w:r w:rsidR="007076CB">
        <w:rPr>
          <w:rFonts w:ascii="Times New Roman" w:hAnsi="Times New Roman" w:cs="Times New Roman"/>
          <w:color w:val="000000"/>
        </w:rPr>
        <w:t xml:space="preserve"> This would establish an industry </w:t>
      </w:r>
      <w:r w:rsidR="006A384D">
        <w:rPr>
          <w:rFonts w:ascii="Times New Roman" w:hAnsi="Times New Roman" w:cs="Times New Roman"/>
          <w:color w:val="000000"/>
        </w:rPr>
        <w:t xml:space="preserve">wide </w:t>
      </w:r>
      <w:r w:rsidR="007076CB">
        <w:rPr>
          <w:rFonts w:ascii="Times New Roman" w:hAnsi="Times New Roman" w:cs="Times New Roman"/>
          <w:color w:val="000000"/>
        </w:rPr>
        <w:t xml:space="preserve">standard </w:t>
      </w:r>
      <w:r w:rsidR="006A384D">
        <w:rPr>
          <w:rFonts w:ascii="Times New Roman" w:hAnsi="Times New Roman" w:cs="Times New Roman"/>
          <w:color w:val="000000"/>
        </w:rPr>
        <w:t>and not only make national development more environmentally sustainable but most likely also lead to economic savings for individual developers and stakeholders.</w:t>
      </w:r>
    </w:p>
    <w:p w14:paraId="73F9BF03" w14:textId="3BDF77B1" w:rsidR="006A384D" w:rsidRDefault="006A384D" w:rsidP="003F2704">
      <w:pPr>
        <w:jc w:val="both"/>
        <w:rPr>
          <w:rFonts w:ascii="Times New Roman" w:hAnsi="Times New Roman" w:cs="Times New Roman"/>
          <w:color w:val="000000"/>
        </w:rPr>
      </w:pPr>
    </w:p>
    <w:p w14:paraId="17ED904C" w14:textId="0D4BD48B" w:rsidR="00CD68DB" w:rsidRDefault="006A384D" w:rsidP="003F2704">
      <w:pPr>
        <w:jc w:val="both"/>
        <w:rPr>
          <w:rFonts w:ascii="Times New Roman" w:hAnsi="Times New Roman" w:cs="Times New Roman"/>
        </w:rPr>
      </w:pPr>
      <w:r>
        <w:rPr>
          <w:rFonts w:ascii="Times New Roman" w:hAnsi="Times New Roman" w:cs="Times New Roman"/>
          <w:color w:val="000000"/>
        </w:rPr>
        <w:t xml:space="preserve">In relation to the efficiency and effectiveness of EIA’s, a frequented point throughout the literature is that the length of an individual assessment can alter its quality. There are several reasons for this being the case; primarily time pressures or pressure from developers, however, it seems social or industry pressure is becoming more predominant now too </w:t>
      </w:r>
      <w:sdt>
        <w:sdtPr>
          <w:rPr>
            <w:rFonts w:ascii="Times New Roman" w:hAnsi="Times New Roman" w:cs="Times New Roman"/>
            <w:color w:val="000000"/>
          </w:rPr>
          <w:tag w:val="MENDELEY_CITATION_e2d41cb2-cb49-44d2-87a8-8224d9545c61"/>
          <w:id w:val="1943644618"/>
          <w:placeholder>
            <w:docPart w:val="DefaultPlaceholder_-1854013440"/>
          </w:placeholder>
        </w:sdtPr>
        <w:sdtContent>
          <w:r w:rsidR="00A36204" w:rsidRPr="00A36204">
            <w:rPr>
              <w:rFonts w:ascii="Times New Roman" w:hAnsi="Times New Roman" w:cs="Times New Roman"/>
              <w:color w:val="000000"/>
            </w:rPr>
            <w:t>(</w:t>
          </w:r>
          <w:proofErr w:type="spellStart"/>
          <w:proofErr w:type="gramStart"/>
          <w:r w:rsidR="00A36204" w:rsidRPr="00A36204">
            <w:rPr>
              <w:rFonts w:ascii="Times New Roman" w:hAnsi="Times New Roman" w:cs="Times New Roman"/>
              <w:color w:val="000000"/>
            </w:rPr>
            <w:t>Fernández,de</w:t>
          </w:r>
          <w:proofErr w:type="spellEnd"/>
          <w:proofErr w:type="gramEnd"/>
          <w:r w:rsidR="00A36204" w:rsidRPr="00A36204">
            <w:rPr>
              <w:rFonts w:ascii="Times New Roman" w:hAnsi="Times New Roman" w:cs="Times New Roman"/>
              <w:color w:val="000000"/>
            </w:rPr>
            <w:t xml:space="preserve"> Brito and Fonseca, 2018)</w:t>
          </w:r>
        </w:sdtContent>
      </w:sdt>
      <w:r>
        <w:rPr>
          <w:rFonts w:ascii="Times New Roman" w:hAnsi="Times New Roman" w:cs="Times New Roman"/>
        </w:rPr>
        <w:t xml:space="preserve"> </w:t>
      </w:r>
      <w:r w:rsidR="001067D6">
        <w:rPr>
          <w:rFonts w:ascii="Times New Roman" w:hAnsi="Times New Roman" w:cs="Times New Roman"/>
        </w:rPr>
        <w:t>The length of an EIA is being more heavily scrutinized. In 1996, Barry Sadler produced a report</w:t>
      </w:r>
      <w:r w:rsidR="00402F92">
        <w:rPr>
          <w:rFonts w:ascii="Times New Roman" w:hAnsi="Times New Roman" w:cs="Times New Roman"/>
        </w:rPr>
        <w:t xml:space="preserve"> in 1996</w:t>
      </w:r>
      <w:r w:rsidR="001067D6">
        <w:rPr>
          <w:rFonts w:ascii="Times New Roman" w:hAnsi="Times New Roman" w:cs="Times New Roman"/>
        </w:rPr>
        <w:t xml:space="preserve"> where he categorized EIA into size groups. Those with &lt;50 pages referred to as ‘small’, those 51-400 as ‘medium’ and those &gt;400 as ‘large’. The ever</w:t>
      </w:r>
      <w:r w:rsidR="00402F92">
        <w:rPr>
          <w:rFonts w:ascii="Times New Roman" w:hAnsi="Times New Roman" w:cs="Times New Roman"/>
        </w:rPr>
        <w:t>-</w:t>
      </w:r>
      <w:r w:rsidR="001067D6">
        <w:rPr>
          <w:rFonts w:ascii="Times New Roman" w:hAnsi="Times New Roman" w:cs="Times New Roman"/>
        </w:rPr>
        <w:t>increasing availability of new information and shared data, along with the afore mentioned pressures, are now spurring the question, does the length of an EIA effect its overall quality</w:t>
      </w:r>
      <w:r w:rsidR="00402F92">
        <w:rPr>
          <w:rFonts w:ascii="Times New Roman" w:hAnsi="Times New Roman" w:cs="Times New Roman"/>
        </w:rPr>
        <w:t xml:space="preserve">. The world bank stated that environmental statements should contain no more than 100 pages, whilst the UK set a limit for 150 pages </w:t>
      </w:r>
      <w:r w:rsidR="00FA640F">
        <w:rPr>
          <w:rFonts w:ascii="Times New Roman" w:hAnsi="Times New Roman" w:cs="Times New Roman"/>
        </w:rPr>
        <w:t>(</w:t>
      </w:r>
      <w:r w:rsidR="00402F92">
        <w:rPr>
          <w:rFonts w:ascii="Times New Roman" w:hAnsi="Times New Roman" w:cs="Times New Roman"/>
        </w:rPr>
        <w:t>excluding cases with special circumstances</w:t>
      </w:r>
      <w:r w:rsidR="00FA640F">
        <w:rPr>
          <w:rFonts w:ascii="Times New Roman" w:hAnsi="Times New Roman" w:cs="Times New Roman"/>
        </w:rPr>
        <w:t xml:space="preserve">), in an attempt to encourage consultants to produce shorter, more concise yet user friendly assessments </w:t>
      </w:r>
      <w:sdt>
        <w:sdtPr>
          <w:rPr>
            <w:rFonts w:ascii="Times New Roman" w:hAnsi="Times New Roman" w:cs="Times New Roman"/>
            <w:color w:val="000000"/>
          </w:rPr>
          <w:tag w:val="MENDELEY_CITATION_fd01cc10-8126-417b-b497-ca27a9dbd754"/>
          <w:id w:val="16820175"/>
          <w:placeholder>
            <w:docPart w:val="DefaultPlaceholder_-1854013440"/>
          </w:placeholder>
        </w:sdtPr>
        <w:sdtContent>
          <w:r w:rsidR="00A36204" w:rsidRPr="00A36204">
            <w:rPr>
              <w:rFonts w:ascii="Times New Roman" w:hAnsi="Times New Roman" w:cs="Times New Roman"/>
              <w:color w:val="000000"/>
            </w:rPr>
            <w:t>(Sadler, 1996)</w:t>
          </w:r>
        </w:sdtContent>
      </w:sdt>
      <w:r w:rsidR="00FA640F">
        <w:rPr>
          <w:rFonts w:ascii="Times New Roman" w:hAnsi="Times New Roman" w:cs="Times New Roman"/>
          <w:color w:val="000000"/>
        </w:rPr>
        <w:t xml:space="preserve">. </w:t>
      </w:r>
    </w:p>
    <w:p w14:paraId="255DCE27" w14:textId="4598CEC0" w:rsidR="00CD68DB" w:rsidRDefault="00CD68DB" w:rsidP="00402F92">
      <w:pPr>
        <w:tabs>
          <w:tab w:val="left" w:pos="2418"/>
        </w:tabs>
        <w:jc w:val="both"/>
        <w:rPr>
          <w:rFonts w:ascii="Times New Roman" w:hAnsi="Times New Roman" w:cs="Times New Roman"/>
        </w:rPr>
      </w:pPr>
    </w:p>
    <w:p w14:paraId="12406DF3" w14:textId="20683F75" w:rsidR="00BE1E3A" w:rsidRDefault="00BE1E3A" w:rsidP="00402F92">
      <w:pPr>
        <w:tabs>
          <w:tab w:val="left" w:pos="2418"/>
        </w:tabs>
        <w:jc w:val="both"/>
        <w:rPr>
          <w:rFonts w:ascii="Times New Roman" w:hAnsi="Times New Roman" w:cs="Times New Roman"/>
        </w:rPr>
      </w:pPr>
      <w:r>
        <w:rPr>
          <w:rFonts w:ascii="Times New Roman" w:hAnsi="Times New Roman" w:cs="Times New Roman"/>
        </w:rPr>
        <w:lastRenderedPageBreak/>
        <w:t>The current system existing for EIA could be improved by considering the afore mentioned solutions. Industry accepted EIA review boards or organisations could remove many pressures that the industry is faced with, as well as preventing some developers from avoiding harder and more in-depth scoping or research methods.</w:t>
      </w:r>
    </w:p>
    <w:p w14:paraId="374349BA" w14:textId="77777777" w:rsidR="00CE05F3" w:rsidRDefault="00CE05F3" w:rsidP="003F2704">
      <w:pPr>
        <w:jc w:val="both"/>
        <w:rPr>
          <w:rFonts w:ascii="Times New Roman" w:hAnsi="Times New Roman" w:cs="Times New Roman"/>
        </w:rPr>
      </w:pPr>
      <w:bookmarkStart w:id="0" w:name="_GoBack"/>
      <w:bookmarkEnd w:id="0"/>
    </w:p>
    <w:p w14:paraId="09B2CF5E" w14:textId="77777777" w:rsidR="00CE05F3" w:rsidRDefault="00CE05F3" w:rsidP="003F2704">
      <w:pPr>
        <w:jc w:val="both"/>
        <w:rPr>
          <w:rFonts w:ascii="Times New Roman" w:hAnsi="Times New Roman" w:cs="Times New Roman"/>
        </w:rPr>
      </w:pPr>
    </w:p>
    <w:p w14:paraId="7E2CC075" w14:textId="77777777" w:rsidR="00CE05F3" w:rsidRDefault="00CE05F3" w:rsidP="003F2704">
      <w:pPr>
        <w:jc w:val="both"/>
        <w:rPr>
          <w:rFonts w:ascii="Times New Roman" w:hAnsi="Times New Roman" w:cs="Times New Roman"/>
        </w:rPr>
      </w:pPr>
    </w:p>
    <w:p w14:paraId="5BD900E6" w14:textId="77777777" w:rsidR="00A36204" w:rsidRDefault="00A36204">
      <w:pPr>
        <w:rPr>
          <w:rFonts w:ascii="Times New Roman" w:hAnsi="Times New Roman" w:cs="Times New Roman"/>
        </w:rPr>
      </w:pPr>
      <w:r>
        <w:rPr>
          <w:rFonts w:ascii="Times New Roman" w:hAnsi="Times New Roman" w:cs="Times New Roman"/>
        </w:rPr>
        <w:br w:type="page"/>
      </w:r>
    </w:p>
    <w:p w14:paraId="00CFA89A" w14:textId="76134207" w:rsidR="00CD68DB" w:rsidRDefault="00CD68DB" w:rsidP="003F2704">
      <w:pPr>
        <w:jc w:val="both"/>
        <w:rPr>
          <w:rFonts w:ascii="Times New Roman" w:hAnsi="Times New Roman" w:cs="Times New Roman"/>
        </w:rPr>
      </w:pPr>
      <w:r>
        <w:rPr>
          <w:rFonts w:ascii="Times New Roman" w:hAnsi="Times New Roman" w:cs="Times New Roman"/>
        </w:rPr>
        <w:lastRenderedPageBreak/>
        <w:t>References:</w:t>
      </w:r>
    </w:p>
    <w:p w14:paraId="39A9AAED" w14:textId="79119E18" w:rsidR="00CD68DB" w:rsidRDefault="00CD68DB" w:rsidP="003F2704">
      <w:pPr>
        <w:jc w:val="both"/>
        <w:rPr>
          <w:rFonts w:ascii="Times New Roman" w:hAnsi="Times New Roman" w:cs="Times New Roman"/>
        </w:rPr>
      </w:pPr>
    </w:p>
    <w:p w14:paraId="33EB0478" w14:textId="38B43140" w:rsidR="00A36204" w:rsidRPr="00A36204" w:rsidRDefault="00A36204" w:rsidP="003F2704">
      <w:pPr>
        <w:jc w:val="both"/>
        <w:rPr>
          <w:rFonts w:ascii="Times New Roman" w:hAnsi="Times New Roman" w:cs="Times New Roman"/>
        </w:rPr>
      </w:pPr>
      <w:r w:rsidRPr="00A36204">
        <w:rPr>
          <w:rFonts w:ascii="Times New Roman" w:hAnsi="Times New Roman" w:cs="Times New Roman"/>
        </w:rPr>
        <w:t xml:space="preserve">Bond, A. J., </w:t>
      </w:r>
      <w:proofErr w:type="spellStart"/>
      <w:r w:rsidRPr="00A36204">
        <w:rPr>
          <w:rFonts w:ascii="Times New Roman" w:hAnsi="Times New Roman" w:cs="Times New Roman"/>
        </w:rPr>
        <w:t>udia</w:t>
      </w:r>
      <w:proofErr w:type="spellEnd"/>
      <w:r w:rsidRPr="00A36204">
        <w:rPr>
          <w:rFonts w:ascii="Times New Roman" w:hAnsi="Times New Roman" w:cs="Times New Roman"/>
        </w:rPr>
        <w:t xml:space="preserve"> </w:t>
      </w:r>
      <w:proofErr w:type="spellStart"/>
      <w:r w:rsidRPr="00A36204">
        <w:rPr>
          <w:rFonts w:ascii="Times New Roman" w:hAnsi="Times New Roman" w:cs="Times New Roman"/>
        </w:rPr>
        <w:t>Viegas</w:t>
      </w:r>
      <w:proofErr w:type="spellEnd"/>
      <w:r w:rsidRPr="00A36204">
        <w:rPr>
          <w:rFonts w:ascii="Times New Roman" w:hAnsi="Times New Roman" w:cs="Times New Roman"/>
        </w:rPr>
        <w:t xml:space="preserve">, C. v, Coelho de Souza </w:t>
      </w:r>
      <w:proofErr w:type="spellStart"/>
      <w:r w:rsidRPr="00A36204">
        <w:rPr>
          <w:rFonts w:ascii="Times New Roman" w:hAnsi="Times New Roman" w:cs="Times New Roman"/>
        </w:rPr>
        <w:t>Reinisch</w:t>
      </w:r>
      <w:proofErr w:type="spellEnd"/>
      <w:r w:rsidRPr="00A36204">
        <w:rPr>
          <w:rFonts w:ascii="Times New Roman" w:hAnsi="Times New Roman" w:cs="Times New Roman"/>
        </w:rPr>
        <w:t xml:space="preserve"> Coelho, C. and </w:t>
      </w:r>
      <w:proofErr w:type="spellStart"/>
      <w:r w:rsidRPr="00A36204">
        <w:rPr>
          <w:rFonts w:ascii="Times New Roman" w:hAnsi="Times New Roman" w:cs="Times New Roman"/>
        </w:rPr>
        <w:t>Maurício</w:t>
      </w:r>
      <w:proofErr w:type="spellEnd"/>
      <w:r w:rsidRPr="00A36204">
        <w:rPr>
          <w:rFonts w:ascii="Times New Roman" w:hAnsi="Times New Roman" w:cs="Times New Roman"/>
        </w:rPr>
        <w:t xml:space="preserve"> Selig, P. (2009). </w:t>
      </w:r>
      <w:r w:rsidRPr="00A36204">
        <w:rPr>
          <w:rFonts w:ascii="Times New Roman" w:hAnsi="Times New Roman" w:cs="Times New Roman"/>
          <w:i/>
          <w:iCs/>
        </w:rPr>
        <w:t>Informal knowledge processes</w:t>
      </w:r>
      <w:r w:rsidRPr="00A36204">
        <w:rPr>
          <w:rFonts w:ascii="Times New Roman" w:hAnsi="Times New Roman" w:cs="Times New Roman"/>
          <w:i/>
          <w:iCs/>
        </w:rPr>
        <w:t xml:space="preserve"> in </w:t>
      </w:r>
      <w:r w:rsidRPr="00A36204">
        <w:rPr>
          <w:rFonts w:ascii="Times New Roman" w:hAnsi="Times New Roman" w:cs="Times New Roman"/>
          <w:i/>
          <w:iCs/>
        </w:rPr>
        <w:t>the underpinning for sustainability outcomes in EIA</w:t>
      </w:r>
      <w:r w:rsidRPr="00A36204">
        <w:rPr>
          <w:rFonts w:ascii="Times New Roman" w:hAnsi="Times New Roman" w:cs="Times New Roman"/>
        </w:rPr>
        <w:t xml:space="preserve">? </w:t>
      </w:r>
      <w:r>
        <w:rPr>
          <w:rFonts w:ascii="Times New Roman" w:hAnsi="Times New Roman" w:cs="Times New Roman"/>
        </w:rPr>
        <w:t xml:space="preserve">In: </w:t>
      </w:r>
      <w:r w:rsidRPr="00A36204">
        <w:rPr>
          <w:rFonts w:ascii="Times New Roman" w:hAnsi="Times New Roman" w:cs="Times New Roman"/>
          <w:i/>
          <w:iCs/>
        </w:rPr>
        <w:t>Journal of Cleaner Production</w:t>
      </w:r>
      <w:r>
        <w:rPr>
          <w:rFonts w:ascii="Times New Roman" w:hAnsi="Times New Roman" w:cs="Times New Roman"/>
          <w:i/>
          <w:iCs/>
        </w:rPr>
        <w:t xml:space="preserve">. </w:t>
      </w:r>
      <w:r>
        <w:rPr>
          <w:rFonts w:ascii="Times New Roman" w:hAnsi="Times New Roman" w:cs="Times New Roman"/>
        </w:rPr>
        <w:t xml:space="preserve">18. pp.6-13. </w:t>
      </w:r>
    </w:p>
    <w:p w14:paraId="7BD0170F" w14:textId="77777777" w:rsidR="00A36204" w:rsidRDefault="00A36204" w:rsidP="003F2704">
      <w:pPr>
        <w:jc w:val="both"/>
        <w:rPr>
          <w:rFonts w:ascii="Times New Roman" w:hAnsi="Times New Roman" w:cs="Times New Roman"/>
        </w:rPr>
      </w:pPr>
    </w:p>
    <w:p w14:paraId="373F1D69" w14:textId="5962AFC7" w:rsidR="007A7CE1" w:rsidRDefault="007A7CE1" w:rsidP="007A7CE1">
      <w:pPr>
        <w:jc w:val="both"/>
        <w:rPr>
          <w:rFonts w:ascii="Times New Roman" w:hAnsi="Times New Roman" w:cs="Times New Roman"/>
        </w:rPr>
      </w:pPr>
      <w:r w:rsidRPr="007A7CE1">
        <w:rPr>
          <w:rFonts w:ascii="Times New Roman" w:hAnsi="Times New Roman" w:cs="Times New Roman"/>
        </w:rPr>
        <w:t xml:space="preserve">Fernández, G. M. R., de Brito, L. L. A. and Fonseca, A. (2018). </w:t>
      </w:r>
      <w:r w:rsidRPr="007A7CE1">
        <w:rPr>
          <w:rFonts w:ascii="Times New Roman" w:hAnsi="Times New Roman" w:cs="Times New Roman"/>
          <w:i/>
          <w:iCs/>
        </w:rPr>
        <w:t xml:space="preserve">Does size matter? An evaluation of length and proportion of information in environmental impact statements. </w:t>
      </w:r>
      <w:r w:rsidRPr="007A7CE1">
        <w:rPr>
          <w:rFonts w:ascii="Times New Roman" w:hAnsi="Times New Roman" w:cs="Times New Roman"/>
        </w:rPr>
        <w:t>In</w:t>
      </w:r>
      <w:r>
        <w:rPr>
          <w:rFonts w:ascii="Times New Roman" w:hAnsi="Times New Roman" w:cs="Times New Roman"/>
          <w:i/>
          <w:iCs/>
        </w:rPr>
        <w:t xml:space="preserve">: </w:t>
      </w:r>
      <w:r w:rsidRPr="007A7CE1">
        <w:rPr>
          <w:rFonts w:ascii="Times New Roman" w:hAnsi="Times New Roman" w:cs="Times New Roman"/>
          <w:i/>
          <w:iCs/>
        </w:rPr>
        <w:t>Environmental Impact Assessment Review</w:t>
      </w:r>
      <w:r w:rsidRPr="007A7CE1">
        <w:rPr>
          <w:rFonts w:ascii="Times New Roman" w:hAnsi="Times New Roman" w:cs="Times New Roman"/>
        </w:rPr>
        <w:t>, 73, Elsevier Inc., pp.114–121.</w:t>
      </w:r>
    </w:p>
    <w:p w14:paraId="0B5823C8" w14:textId="77777777" w:rsidR="007A7CE1" w:rsidRPr="007A7CE1" w:rsidRDefault="007A7CE1" w:rsidP="007A7CE1">
      <w:pPr>
        <w:jc w:val="both"/>
        <w:rPr>
          <w:rFonts w:ascii="Times New Roman" w:hAnsi="Times New Roman" w:cs="Times New Roman"/>
        </w:rPr>
      </w:pPr>
    </w:p>
    <w:p w14:paraId="4F6172F1" w14:textId="486ACC95" w:rsidR="007A7CE1" w:rsidRDefault="007A7CE1" w:rsidP="007A7CE1">
      <w:pPr>
        <w:jc w:val="both"/>
        <w:rPr>
          <w:rFonts w:ascii="Times New Roman" w:hAnsi="Times New Roman" w:cs="Times New Roman"/>
        </w:rPr>
      </w:pPr>
      <w:proofErr w:type="spellStart"/>
      <w:r w:rsidRPr="007A7CE1">
        <w:rPr>
          <w:rFonts w:ascii="Times New Roman" w:hAnsi="Times New Roman" w:cs="Times New Roman"/>
        </w:rPr>
        <w:t>Finnveden</w:t>
      </w:r>
      <w:proofErr w:type="spellEnd"/>
      <w:r w:rsidRPr="007A7CE1">
        <w:rPr>
          <w:rFonts w:ascii="Times New Roman" w:hAnsi="Times New Roman" w:cs="Times New Roman"/>
        </w:rPr>
        <w:t xml:space="preserve">, G., Nilsson, M., Johansson, J., Persson, Å., Moberg, Å. and Carlsson, T. (2003). </w:t>
      </w:r>
      <w:r w:rsidRPr="007A7CE1">
        <w:rPr>
          <w:rFonts w:ascii="Times New Roman" w:hAnsi="Times New Roman" w:cs="Times New Roman"/>
          <w:i/>
          <w:iCs/>
        </w:rPr>
        <w:t>Strategic environmental assessment</w:t>
      </w:r>
      <w:r w:rsidRPr="007A7CE1">
        <w:rPr>
          <w:rFonts w:ascii="Times New Roman" w:hAnsi="Times New Roman" w:cs="Times New Roman"/>
        </w:rPr>
        <w:t xml:space="preserve"> </w:t>
      </w:r>
      <w:r w:rsidRPr="007A7CE1">
        <w:rPr>
          <w:rFonts w:ascii="Times New Roman" w:hAnsi="Times New Roman" w:cs="Times New Roman"/>
          <w:i/>
          <w:iCs/>
        </w:rPr>
        <w:t>methodologies</w:t>
      </w:r>
      <w:r w:rsidRPr="007A7CE1">
        <w:rPr>
          <w:rFonts w:ascii="Times New Roman" w:hAnsi="Times New Roman" w:cs="Times New Roman"/>
        </w:rPr>
        <w:t xml:space="preserve"> </w:t>
      </w:r>
      <w:proofErr w:type="gramStart"/>
      <w:r>
        <w:rPr>
          <w:rFonts w:ascii="Times New Roman" w:hAnsi="Times New Roman" w:cs="Times New Roman"/>
        </w:rPr>
        <w:t>In</w:t>
      </w:r>
      <w:proofErr w:type="gramEnd"/>
      <w:r>
        <w:rPr>
          <w:rFonts w:ascii="Times New Roman" w:hAnsi="Times New Roman" w:cs="Times New Roman"/>
        </w:rPr>
        <w:t xml:space="preserve">: </w:t>
      </w:r>
      <w:r w:rsidRPr="007A7CE1">
        <w:rPr>
          <w:rFonts w:ascii="Times New Roman" w:hAnsi="Times New Roman" w:cs="Times New Roman"/>
          <w:i/>
          <w:iCs/>
        </w:rPr>
        <w:t>Applications within the energy sector</w:t>
      </w:r>
      <w:r w:rsidRPr="007A7CE1">
        <w:rPr>
          <w:rFonts w:ascii="Times New Roman" w:hAnsi="Times New Roman" w:cs="Times New Roman"/>
        </w:rPr>
        <w:t xml:space="preserve">. Environmental Impact Assessment Review, 23 (1), Elsevier Inc., pp.91–123. </w:t>
      </w:r>
    </w:p>
    <w:p w14:paraId="1A646A04" w14:textId="77777777" w:rsidR="00550440" w:rsidRDefault="00550440" w:rsidP="003F2704">
      <w:pPr>
        <w:jc w:val="both"/>
        <w:rPr>
          <w:rFonts w:ascii="Times New Roman" w:hAnsi="Times New Roman" w:cs="Times New Roman"/>
        </w:rPr>
      </w:pPr>
    </w:p>
    <w:p w14:paraId="5D4325A5" w14:textId="688365BC" w:rsidR="00550440" w:rsidRDefault="00CE05F3" w:rsidP="00550440">
      <w:pPr>
        <w:jc w:val="both"/>
        <w:rPr>
          <w:rFonts w:ascii="Times New Roman" w:eastAsia="Times New Roman" w:hAnsi="Times New Roman" w:cs="Times New Roman"/>
          <w:shd w:val="clear" w:color="auto" w:fill="FFFFFF"/>
          <w:lang w:eastAsia="en-GB"/>
        </w:rPr>
      </w:pPr>
      <w:r>
        <w:rPr>
          <w:rFonts w:ascii="Times New Roman" w:eastAsia="Times New Roman" w:hAnsi="Times New Roman" w:cs="Times New Roman"/>
          <w:shd w:val="clear" w:color="auto" w:fill="FFFFFF"/>
          <w:lang w:eastAsia="en-GB"/>
        </w:rPr>
        <w:t xml:space="preserve">Institute of Environmental Management Assessment. (2002) </w:t>
      </w:r>
      <w:r w:rsidRPr="00CE05F3">
        <w:rPr>
          <w:rFonts w:ascii="Times New Roman" w:eastAsia="Times New Roman" w:hAnsi="Times New Roman" w:cs="Times New Roman"/>
          <w:i/>
          <w:iCs/>
          <w:shd w:val="clear" w:color="auto" w:fill="FFFFFF"/>
          <w:lang w:eastAsia="en-GB"/>
        </w:rPr>
        <w:t>Guidelines for Landscape and Visual Impact Assessment</w:t>
      </w:r>
      <w:r>
        <w:rPr>
          <w:rFonts w:ascii="Times New Roman" w:eastAsia="Times New Roman" w:hAnsi="Times New Roman" w:cs="Times New Roman"/>
          <w:shd w:val="clear" w:color="auto" w:fill="FFFFFF"/>
          <w:lang w:eastAsia="en-GB"/>
        </w:rPr>
        <w:t>. 2</w:t>
      </w:r>
      <w:r w:rsidRPr="00CE05F3">
        <w:rPr>
          <w:rFonts w:ascii="Times New Roman" w:eastAsia="Times New Roman" w:hAnsi="Times New Roman" w:cs="Times New Roman"/>
          <w:shd w:val="clear" w:color="auto" w:fill="FFFFFF"/>
          <w:vertAlign w:val="superscript"/>
          <w:lang w:eastAsia="en-GB"/>
        </w:rPr>
        <w:t>nd</w:t>
      </w:r>
      <w:r>
        <w:rPr>
          <w:rFonts w:ascii="Times New Roman" w:eastAsia="Times New Roman" w:hAnsi="Times New Roman" w:cs="Times New Roman"/>
          <w:shd w:val="clear" w:color="auto" w:fill="FFFFFF"/>
          <w:lang w:eastAsia="en-GB"/>
        </w:rPr>
        <w:t xml:space="preserve"> Ed., London.</w:t>
      </w:r>
      <w:r w:rsidR="00550440">
        <w:rPr>
          <w:rFonts w:ascii="Times New Roman" w:eastAsia="Times New Roman" w:hAnsi="Times New Roman" w:cs="Times New Roman"/>
          <w:shd w:val="clear" w:color="auto" w:fill="FFFFFF"/>
          <w:lang w:eastAsia="en-GB"/>
        </w:rPr>
        <w:t xml:space="preserve"> </w:t>
      </w:r>
    </w:p>
    <w:p w14:paraId="2F4AD1E3" w14:textId="55A8DB8D" w:rsidR="007A7CE1" w:rsidRDefault="007A7CE1" w:rsidP="00550440">
      <w:pPr>
        <w:jc w:val="both"/>
        <w:rPr>
          <w:rFonts w:ascii="Times New Roman" w:eastAsia="Times New Roman" w:hAnsi="Times New Roman" w:cs="Times New Roman"/>
          <w:shd w:val="clear" w:color="auto" w:fill="FFFFFF"/>
          <w:lang w:eastAsia="en-GB"/>
        </w:rPr>
      </w:pPr>
    </w:p>
    <w:p w14:paraId="72DFFBFF" w14:textId="4150411D" w:rsidR="00550440" w:rsidRDefault="00550440" w:rsidP="00550440">
      <w:pPr>
        <w:jc w:val="both"/>
        <w:rPr>
          <w:rFonts w:ascii="Times New Roman" w:eastAsia="Times New Roman" w:hAnsi="Times New Roman" w:cs="Times New Roman"/>
          <w:shd w:val="clear" w:color="auto" w:fill="FFFFFF"/>
          <w:lang w:eastAsia="en-GB"/>
        </w:rPr>
      </w:pPr>
      <w:r>
        <w:rPr>
          <w:rFonts w:ascii="Times New Roman" w:eastAsia="Times New Roman" w:hAnsi="Times New Roman" w:cs="Times New Roman"/>
          <w:shd w:val="clear" w:color="auto" w:fill="FFFFFF"/>
          <w:lang w:eastAsia="en-GB"/>
        </w:rPr>
        <w:t xml:space="preserve">Jacobs. (2009). </w:t>
      </w:r>
      <w:r w:rsidRPr="00550440">
        <w:rPr>
          <w:rFonts w:ascii="Times New Roman" w:eastAsia="Times New Roman" w:hAnsi="Times New Roman" w:cs="Times New Roman"/>
          <w:i/>
          <w:iCs/>
          <w:shd w:val="clear" w:color="auto" w:fill="FFFFFF"/>
          <w:lang w:eastAsia="en-GB"/>
        </w:rPr>
        <w:t>Forth Replacement Crossing DMRB Stage 2 Corridor Report</w:t>
      </w:r>
      <w:r>
        <w:rPr>
          <w:rFonts w:ascii="Times New Roman" w:eastAsia="Times New Roman" w:hAnsi="Times New Roman" w:cs="Times New Roman"/>
          <w:shd w:val="clear" w:color="auto" w:fill="FFFFFF"/>
          <w:lang w:eastAsia="en-GB"/>
        </w:rPr>
        <w:t xml:space="preserve">. 1. (Ch.11-12). </w:t>
      </w:r>
    </w:p>
    <w:p w14:paraId="3EDED37F" w14:textId="05648070" w:rsidR="00F31FC3" w:rsidRDefault="00F31FC3" w:rsidP="00550440">
      <w:pPr>
        <w:jc w:val="both"/>
        <w:rPr>
          <w:rFonts w:ascii="Times New Roman" w:eastAsia="Times New Roman" w:hAnsi="Times New Roman" w:cs="Times New Roman"/>
          <w:shd w:val="clear" w:color="auto" w:fill="FFFFFF"/>
          <w:lang w:eastAsia="en-GB"/>
        </w:rPr>
      </w:pPr>
    </w:p>
    <w:p w14:paraId="440F83A1" w14:textId="05D58C9C" w:rsidR="00F31FC3" w:rsidRDefault="00F31FC3" w:rsidP="00F31FC3">
      <w:pPr>
        <w:jc w:val="both"/>
        <w:rPr>
          <w:rFonts w:ascii="Times New Roman" w:hAnsi="Times New Roman" w:cs="Times New Roman"/>
        </w:rPr>
      </w:pPr>
      <w:r w:rsidRPr="007A7CE1">
        <w:rPr>
          <w:rFonts w:ascii="Times New Roman" w:hAnsi="Times New Roman" w:cs="Times New Roman"/>
        </w:rPr>
        <w:t xml:space="preserve">Lee, N. and Colley, R. (1991). </w:t>
      </w:r>
      <w:r w:rsidRPr="007A7CE1">
        <w:rPr>
          <w:rFonts w:ascii="Times New Roman" w:hAnsi="Times New Roman" w:cs="Times New Roman"/>
          <w:i/>
          <w:iCs/>
        </w:rPr>
        <w:t>Reviewing the quality of environmental statements: review methods and findings</w:t>
      </w:r>
      <w:r>
        <w:rPr>
          <w:rFonts w:ascii="Times New Roman" w:hAnsi="Times New Roman" w:cs="Times New Roman"/>
          <w:i/>
          <w:iCs/>
        </w:rPr>
        <w:t xml:space="preserve"> </w:t>
      </w:r>
      <w:proofErr w:type="gramStart"/>
      <w:r>
        <w:rPr>
          <w:rFonts w:ascii="Times New Roman" w:hAnsi="Times New Roman" w:cs="Times New Roman"/>
        </w:rPr>
        <w:t>In</w:t>
      </w:r>
      <w:proofErr w:type="gramEnd"/>
      <w:r>
        <w:rPr>
          <w:rFonts w:ascii="Times New Roman" w:hAnsi="Times New Roman" w:cs="Times New Roman"/>
        </w:rPr>
        <w:t>:</w:t>
      </w:r>
      <w:r w:rsidRPr="007A7CE1">
        <w:rPr>
          <w:rFonts w:ascii="Times New Roman" w:hAnsi="Times New Roman" w:cs="Times New Roman"/>
          <w:i/>
          <w:iCs/>
        </w:rPr>
        <w:t xml:space="preserve"> Town Planning Review</w:t>
      </w:r>
      <w:r w:rsidRPr="007A7CE1">
        <w:rPr>
          <w:rFonts w:ascii="Times New Roman" w:hAnsi="Times New Roman" w:cs="Times New Roman"/>
        </w:rPr>
        <w:t>, 62 (2), pp.239–248.</w:t>
      </w:r>
    </w:p>
    <w:p w14:paraId="6C7FE462" w14:textId="016967C9" w:rsidR="00A36204" w:rsidRDefault="00A36204" w:rsidP="00F31FC3">
      <w:pPr>
        <w:jc w:val="both"/>
        <w:rPr>
          <w:rFonts w:ascii="Times New Roman" w:hAnsi="Times New Roman" w:cs="Times New Roman"/>
        </w:rPr>
      </w:pPr>
    </w:p>
    <w:p w14:paraId="43BF37F3" w14:textId="588D01BE" w:rsidR="00A36204" w:rsidRDefault="00A36204" w:rsidP="00F31FC3">
      <w:pPr>
        <w:jc w:val="both"/>
        <w:rPr>
          <w:rFonts w:ascii="Times New Roman" w:hAnsi="Times New Roman" w:cs="Times New Roman"/>
        </w:rPr>
      </w:pPr>
      <w:proofErr w:type="spellStart"/>
      <w:r w:rsidRPr="00A36204">
        <w:rPr>
          <w:rFonts w:ascii="Times New Roman" w:hAnsi="Times New Roman" w:cs="Times New Roman"/>
        </w:rPr>
        <w:t>Midloathian</w:t>
      </w:r>
      <w:proofErr w:type="spellEnd"/>
      <w:r w:rsidRPr="00A36204">
        <w:rPr>
          <w:rFonts w:ascii="Times New Roman" w:hAnsi="Times New Roman" w:cs="Times New Roman"/>
        </w:rPr>
        <w:t xml:space="preserve"> Council. (2017). </w:t>
      </w:r>
      <w:r w:rsidRPr="00A36204">
        <w:rPr>
          <w:rFonts w:ascii="Times New Roman" w:hAnsi="Times New Roman" w:cs="Times New Roman"/>
          <w:i/>
          <w:iCs/>
        </w:rPr>
        <w:t>Midlothian Local Development Plan</w:t>
      </w:r>
      <w:r w:rsidRPr="00A36204">
        <w:rPr>
          <w:rFonts w:ascii="Times New Roman" w:hAnsi="Times New Roman" w:cs="Times New Roman"/>
        </w:rPr>
        <w:t>. Edinburgh. [Online]. Available at: www.midlothian.gov.uk/MLDP.</w:t>
      </w:r>
    </w:p>
    <w:p w14:paraId="2B2C4DB6" w14:textId="0B6E59C2" w:rsidR="00CE05F3" w:rsidRDefault="00CE05F3" w:rsidP="00550440">
      <w:pPr>
        <w:jc w:val="both"/>
        <w:rPr>
          <w:rFonts w:ascii="Times New Roman" w:eastAsia="Times New Roman" w:hAnsi="Times New Roman" w:cs="Times New Roman"/>
          <w:shd w:val="clear" w:color="auto" w:fill="FFFFFF"/>
          <w:lang w:eastAsia="en-GB"/>
        </w:rPr>
      </w:pPr>
    </w:p>
    <w:p w14:paraId="237610C4" w14:textId="17D20B7B" w:rsidR="007A7CE1" w:rsidRPr="007A7CE1" w:rsidRDefault="007A7CE1" w:rsidP="00550440">
      <w:pPr>
        <w:jc w:val="both"/>
        <w:rPr>
          <w:rFonts w:ascii="Times New Roman" w:hAnsi="Times New Roman" w:cs="Times New Roman"/>
        </w:rPr>
      </w:pPr>
      <w:r w:rsidRPr="007A7CE1">
        <w:rPr>
          <w:rFonts w:ascii="Times New Roman" w:hAnsi="Times New Roman" w:cs="Times New Roman"/>
        </w:rPr>
        <w:t xml:space="preserve">Sadler, B. (1996). </w:t>
      </w:r>
      <w:r w:rsidRPr="007A7CE1">
        <w:rPr>
          <w:rFonts w:ascii="Times New Roman" w:hAnsi="Times New Roman" w:cs="Times New Roman"/>
          <w:i/>
          <w:iCs/>
        </w:rPr>
        <w:t>International Study of the Effectiveness of Environmental Assessment</w:t>
      </w:r>
      <w:r w:rsidRPr="007A7CE1">
        <w:rPr>
          <w:rFonts w:ascii="Times New Roman" w:hAnsi="Times New Roman" w:cs="Times New Roman"/>
        </w:rPr>
        <w:t>.</w:t>
      </w:r>
      <w:r>
        <w:rPr>
          <w:rFonts w:ascii="Times New Roman" w:hAnsi="Times New Roman" w:cs="Times New Roman"/>
        </w:rPr>
        <w:t xml:space="preserve"> Canadian Environmental Assessment Agency.</w:t>
      </w:r>
    </w:p>
    <w:p w14:paraId="2A199953" w14:textId="77777777" w:rsidR="007A7CE1" w:rsidRPr="00CE05F3" w:rsidRDefault="007A7CE1" w:rsidP="00550440">
      <w:pPr>
        <w:jc w:val="both"/>
        <w:rPr>
          <w:rFonts w:ascii="Times New Roman" w:eastAsia="Times New Roman" w:hAnsi="Times New Roman" w:cs="Times New Roman"/>
          <w:shd w:val="clear" w:color="auto" w:fill="FFFFFF"/>
          <w:lang w:eastAsia="en-GB"/>
        </w:rPr>
      </w:pPr>
    </w:p>
    <w:p w14:paraId="4E1A1CDB" w14:textId="74F62071" w:rsidR="00F31FC3" w:rsidRDefault="00CD68DB" w:rsidP="00550440">
      <w:pPr>
        <w:jc w:val="both"/>
        <w:rPr>
          <w:rFonts w:ascii="Times New Roman" w:eastAsia="Times New Roman" w:hAnsi="Times New Roman" w:cs="Times New Roman"/>
          <w:shd w:val="clear" w:color="auto" w:fill="FFFFFF"/>
          <w:lang w:eastAsia="en-GB"/>
        </w:rPr>
      </w:pPr>
      <w:r w:rsidRPr="00CD68DB">
        <w:rPr>
          <w:rFonts w:ascii="Times New Roman" w:eastAsia="Times New Roman" w:hAnsi="Times New Roman" w:cs="Times New Roman"/>
          <w:shd w:val="clear" w:color="auto" w:fill="FFFFFF"/>
          <w:lang w:eastAsia="en-GB"/>
        </w:rPr>
        <w:t>Scottish Executive</w:t>
      </w:r>
      <w:r w:rsidR="00550440">
        <w:rPr>
          <w:rFonts w:ascii="Times New Roman" w:eastAsia="Times New Roman" w:hAnsi="Times New Roman" w:cs="Times New Roman"/>
          <w:shd w:val="clear" w:color="auto" w:fill="FFFFFF"/>
          <w:lang w:eastAsia="en-GB"/>
        </w:rPr>
        <w:t>.</w:t>
      </w:r>
      <w:r w:rsidRPr="00CD68DB">
        <w:rPr>
          <w:rFonts w:ascii="Times New Roman" w:eastAsia="Times New Roman" w:hAnsi="Times New Roman" w:cs="Times New Roman"/>
          <w:shd w:val="clear" w:color="auto" w:fill="FFFFFF"/>
          <w:lang w:eastAsia="en-GB"/>
        </w:rPr>
        <w:t xml:space="preserve"> (2002). </w:t>
      </w:r>
      <w:r w:rsidR="00CE05F3" w:rsidRPr="00CD68DB">
        <w:rPr>
          <w:rFonts w:ascii="Times New Roman" w:eastAsia="Times New Roman" w:hAnsi="Times New Roman" w:cs="Times New Roman"/>
          <w:i/>
          <w:iCs/>
          <w:shd w:val="clear" w:color="auto" w:fill="FFFFFF"/>
          <w:lang w:eastAsia="en-GB"/>
        </w:rPr>
        <w:t>Landscape &amp; Visual Assessment</w:t>
      </w:r>
      <w:r w:rsidR="00CE05F3">
        <w:rPr>
          <w:rFonts w:ascii="Times New Roman" w:eastAsia="Times New Roman" w:hAnsi="Times New Roman" w:cs="Times New Roman"/>
          <w:shd w:val="clear" w:color="auto" w:fill="FFFFFF"/>
          <w:lang w:eastAsia="en-GB"/>
        </w:rPr>
        <w:t xml:space="preserve"> In: </w:t>
      </w:r>
      <w:r w:rsidR="00CE05F3" w:rsidRPr="00CE05F3">
        <w:rPr>
          <w:rFonts w:ascii="Times New Roman" w:eastAsia="Times New Roman" w:hAnsi="Times New Roman" w:cs="Times New Roman"/>
          <w:i/>
          <w:iCs/>
          <w:shd w:val="clear" w:color="auto" w:fill="FFFFFF"/>
          <w:lang w:eastAsia="en-GB"/>
        </w:rPr>
        <w:t>Driving Manual for Roads and Bridges</w:t>
      </w:r>
      <w:r w:rsidR="00CE05F3">
        <w:rPr>
          <w:rFonts w:ascii="Times New Roman" w:eastAsia="Times New Roman" w:hAnsi="Times New Roman" w:cs="Times New Roman"/>
          <w:shd w:val="clear" w:color="auto" w:fill="FFFFFF"/>
          <w:lang w:eastAsia="en-GB"/>
        </w:rPr>
        <w:t xml:space="preserve">. </w:t>
      </w:r>
      <w:r w:rsidRPr="00CD68DB">
        <w:rPr>
          <w:rFonts w:ascii="Times New Roman" w:eastAsia="Times New Roman" w:hAnsi="Times New Roman" w:cs="Times New Roman"/>
          <w:shd w:val="clear" w:color="auto" w:fill="FFFFFF"/>
          <w:lang w:eastAsia="en-GB"/>
        </w:rPr>
        <w:t xml:space="preserve">Vol.11, Supplementary Guidance. </w:t>
      </w:r>
    </w:p>
    <w:p w14:paraId="21478BA9" w14:textId="50C58891" w:rsidR="00A36204" w:rsidRDefault="00A36204" w:rsidP="00550440">
      <w:pPr>
        <w:jc w:val="both"/>
        <w:rPr>
          <w:rFonts w:ascii="Times New Roman" w:eastAsia="Times New Roman" w:hAnsi="Times New Roman" w:cs="Times New Roman"/>
          <w:shd w:val="clear" w:color="auto" w:fill="FFFFFF"/>
          <w:lang w:eastAsia="en-GB"/>
        </w:rPr>
      </w:pPr>
    </w:p>
    <w:p w14:paraId="0325A7E6" w14:textId="5A7ED64B" w:rsidR="00A36204" w:rsidRDefault="00A36204" w:rsidP="00A36204">
      <w:pPr>
        <w:jc w:val="both"/>
        <w:rPr>
          <w:rFonts w:ascii="Times New Roman" w:eastAsia="Times New Roman" w:hAnsi="Times New Roman" w:cs="Times New Roman"/>
          <w:shd w:val="clear" w:color="auto" w:fill="FFFFFF"/>
          <w:lang w:eastAsia="en-GB"/>
        </w:rPr>
      </w:pPr>
      <w:r w:rsidRPr="00A36204">
        <w:rPr>
          <w:rFonts w:ascii="Times New Roman" w:eastAsia="Times New Roman" w:hAnsi="Times New Roman" w:cs="Times New Roman"/>
          <w:shd w:val="clear" w:color="auto" w:fill="FFFFFF"/>
          <w:lang w:eastAsia="en-GB"/>
        </w:rPr>
        <w:t>Scottish Government. (2014a). Scotland’s Third National Planning Framework.</w:t>
      </w:r>
    </w:p>
    <w:p w14:paraId="4EEFE3C5" w14:textId="77777777" w:rsidR="00A36204" w:rsidRPr="00A36204" w:rsidRDefault="00A36204" w:rsidP="00A36204">
      <w:pPr>
        <w:jc w:val="both"/>
        <w:rPr>
          <w:rFonts w:ascii="Times New Roman" w:eastAsia="Times New Roman" w:hAnsi="Times New Roman" w:cs="Times New Roman"/>
          <w:shd w:val="clear" w:color="auto" w:fill="FFFFFF"/>
          <w:lang w:eastAsia="en-GB"/>
        </w:rPr>
      </w:pPr>
    </w:p>
    <w:p w14:paraId="45150907" w14:textId="6401E550" w:rsidR="00A36204" w:rsidRDefault="00A36204" w:rsidP="00A36204">
      <w:pPr>
        <w:jc w:val="both"/>
        <w:rPr>
          <w:rFonts w:ascii="Times New Roman" w:eastAsia="Times New Roman" w:hAnsi="Times New Roman" w:cs="Times New Roman"/>
          <w:shd w:val="clear" w:color="auto" w:fill="FFFFFF"/>
          <w:lang w:eastAsia="en-GB"/>
        </w:rPr>
      </w:pPr>
      <w:r w:rsidRPr="00A36204">
        <w:rPr>
          <w:rFonts w:ascii="Times New Roman" w:eastAsia="Times New Roman" w:hAnsi="Times New Roman" w:cs="Times New Roman"/>
          <w:shd w:val="clear" w:color="auto" w:fill="FFFFFF"/>
          <w:lang w:eastAsia="en-GB"/>
        </w:rPr>
        <w:t>Scottish Government. (2014b). Scottish Planning Policy.</w:t>
      </w:r>
    </w:p>
    <w:p w14:paraId="37C72BB8" w14:textId="6EE4FCC5" w:rsidR="00A36204" w:rsidRDefault="00A36204" w:rsidP="00A36204">
      <w:pPr>
        <w:jc w:val="both"/>
        <w:rPr>
          <w:rFonts w:ascii="Times New Roman" w:eastAsia="Times New Roman" w:hAnsi="Times New Roman" w:cs="Times New Roman"/>
          <w:shd w:val="clear" w:color="auto" w:fill="FFFFFF"/>
          <w:lang w:eastAsia="en-GB"/>
        </w:rPr>
      </w:pPr>
    </w:p>
    <w:p w14:paraId="61C203FB" w14:textId="2ED2B05E" w:rsidR="00A36204" w:rsidRPr="00CD68DB" w:rsidRDefault="00A36204" w:rsidP="00A36204">
      <w:pPr>
        <w:jc w:val="both"/>
        <w:rPr>
          <w:rFonts w:ascii="Times New Roman" w:eastAsia="Times New Roman" w:hAnsi="Times New Roman" w:cs="Times New Roman"/>
          <w:shd w:val="clear" w:color="auto" w:fill="FFFFFF"/>
          <w:lang w:eastAsia="en-GB"/>
        </w:rPr>
      </w:pPr>
      <w:r>
        <w:rPr>
          <w:rFonts w:ascii="Times New Roman" w:eastAsia="Times New Roman" w:hAnsi="Times New Roman" w:cs="Times New Roman"/>
          <w:shd w:val="clear" w:color="auto" w:fill="FFFFFF"/>
          <w:lang w:eastAsia="en-GB"/>
        </w:rPr>
        <w:t xml:space="preserve">Sweco (2019) Environmental Impact Assessment: Destination Hillend. </w:t>
      </w:r>
    </w:p>
    <w:p w14:paraId="6A5EC4DE" w14:textId="14A62403" w:rsidR="00CD68DB" w:rsidRDefault="00CD68DB" w:rsidP="003F2704">
      <w:pPr>
        <w:jc w:val="both"/>
        <w:rPr>
          <w:rFonts w:ascii="Times New Roman" w:hAnsi="Times New Roman" w:cs="Times New Roman"/>
        </w:rPr>
      </w:pPr>
    </w:p>
    <w:p w14:paraId="44C05072" w14:textId="70C60283" w:rsidR="00402F92" w:rsidRDefault="00BE1E3A" w:rsidP="003F2704">
      <w:pPr>
        <w:jc w:val="both"/>
        <w:rPr>
          <w:rFonts w:ascii="Times New Roman" w:hAnsi="Times New Roman" w:cs="Times New Roman"/>
        </w:rPr>
      </w:pPr>
      <w:r>
        <w:rPr>
          <w:rFonts w:ascii="Times New Roman" w:hAnsi="Times New Roman" w:cs="Times New Roman"/>
        </w:rPr>
        <w:t xml:space="preserve">Warren, C. (2002) </w:t>
      </w:r>
      <w:r w:rsidRPr="00F31FC3">
        <w:rPr>
          <w:rFonts w:ascii="Times New Roman" w:hAnsi="Times New Roman" w:cs="Times New Roman"/>
          <w:i/>
          <w:iCs/>
        </w:rPr>
        <w:t>Managing Scotland’s Environment</w:t>
      </w:r>
      <w:r>
        <w:rPr>
          <w:rFonts w:ascii="Times New Roman" w:hAnsi="Times New Roman" w:cs="Times New Roman"/>
        </w:rPr>
        <w:t>. 2</w:t>
      </w:r>
      <w:r w:rsidRPr="00BE1E3A">
        <w:rPr>
          <w:rFonts w:ascii="Times New Roman" w:hAnsi="Times New Roman" w:cs="Times New Roman"/>
          <w:vertAlign w:val="superscript"/>
        </w:rPr>
        <w:t>nd</w:t>
      </w:r>
      <w:r>
        <w:rPr>
          <w:rFonts w:ascii="Times New Roman" w:hAnsi="Times New Roman" w:cs="Times New Roman"/>
        </w:rPr>
        <w:t xml:space="preserve"> Edition. Edinburgh University Press. Edinburgh. pp. 379-383.</w:t>
      </w:r>
    </w:p>
    <w:p w14:paraId="1F497F25" w14:textId="77777777" w:rsidR="007A7CE1" w:rsidRPr="007A7CE1" w:rsidRDefault="007A7CE1" w:rsidP="007A7CE1">
      <w:pPr>
        <w:jc w:val="both"/>
        <w:rPr>
          <w:rFonts w:ascii="Times New Roman" w:hAnsi="Times New Roman" w:cs="Times New Roman"/>
        </w:rPr>
      </w:pPr>
    </w:p>
    <w:p w14:paraId="4F9DFABD" w14:textId="5D3930D5" w:rsidR="00A36204" w:rsidRPr="00A36204" w:rsidRDefault="007A7CE1" w:rsidP="000B2175">
      <w:pPr>
        <w:jc w:val="both"/>
        <w:rPr>
          <w:rFonts w:ascii="Times New Roman" w:hAnsi="Times New Roman" w:cs="Times New Roman"/>
        </w:rPr>
      </w:pPr>
      <w:r w:rsidRPr="007A7CE1">
        <w:rPr>
          <w:rFonts w:ascii="Times New Roman" w:hAnsi="Times New Roman" w:cs="Times New Roman"/>
        </w:rPr>
        <w:t xml:space="preserve">Wright, A. J., Dolman, S. J., </w:t>
      </w:r>
      <w:proofErr w:type="spellStart"/>
      <w:r w:rsidRPr="007A7CE1">
        <w:rPr>
          <w:rFonts w:ascii="Times New Roman" w:hAnsi="Times New Roman" w:cs="Times New Roman"/>
        </w:rPr>
        <w:t>Jasny</w:t>
      </w:r>
      <w:proofErr w:type="spellEnd"/>
      <w:r w:rsidRPr="007A7CE1">
        <w:rPr>
          <w:rFonts w:ascii="Times New Roman" w:hAnsi="Times New Roman" w:cs="Times New Roman"/>
        </w:rPr>
        <w:t xml:space="preserve">, M., Parsons, E. C. M., </w:t>
      </w:r>
      <w:proofErr w:type="spellStart"/>
      <w:r w:rsidRPr="007A7CE1">
        <w:rPr>
          <w:rFonts w:ascii="Times New Roman" w:hAnsi="Times New Roman" w:cs="Times New Roman"/>
        </w:rPr>
        <w:t>Schiedek</w:t>
      </w:r>
      <w:proofErr w:type="spellEnd"/>
      <w:r w:rsidRPr="007A7CE1">
        <w:rPr>
          <w:rFonts w:ascii="Times New Roman" w:hAnsi="Times New Roman" w:cs="Times New Roman"/>
        </w:rPr>
        <w:t xml:space="preserve">, D. and Young, S. B. (2013). </w:t>
      </w:r>
      <w:r w:rsidRPr="007A7CE1">
        <w:rPr>
          <w:rFonts w:ascii="Times New Roman" w:hAnsi="Times New Roman" w:cs="Times New Roman"/>
          <w:i/>
          <w:iCs/>
        </w:rPr>
        <w:t>Myth and Momentum: A Critique of Environmental Impact Assessments</w:t>
      </w:r>
      <w:r>
        <w:rPr>
          <w:rFonts w:ascii="Times New Roman" w:hAnsi="Times New Roman" w:cs="Times New Roman"/>
          <w:i/>
          <w:iCs/>
        </w:rPr>
        <w:t xml:space="preserve"> </w:t>
      </w:r>
      <w:r>
        <w:rPr>
          <w:rFonts w:ascii="Times New Roman" w:hAnsi="Times New Roman" w:cs="Times New Roman"/>
        </w:rPr>
        <w:t xml:space="preserve">In: </w:t>
      </w:r>
      <w:r w:rsidRPr="007A7CE1">
        <w:rPr>
          <w:rFonts w:ascii="Times New Roman" w:hAnsi="Times New Roman" w:cs="Times New Roman"/>
          <w:i/>
          <w:iCs/>
        </w:rPr>
        <w:t>Journal of Environmental Protection</w:t>
      </w:r>
      <w:r w:rsidRPr="007A7CE1">
        <w:rPr>
          <w:rFonts w:ascii="Times New Roman" w:hAnsi="Times New Roman" w:cs="Times New Roman"/>
        </w:rPr>
        <w:t>, 04 (08), Scientific Research Publishing Inc</w:t>
      </w:r>
      <w:r w:rsidR="00A36204">
        <w:rPr>
          <w:rFonts w:ascii="Times New Roman" w:hAnsi="Times New Roman" w:cs="Times New Roman"/>
        </w:rPr>
        <w:t>.</w:t>
      </w:r>
      <w:r w:rsidRPr="007A7CE1">
        <w:rPr>
          <w:rFonts w:ascii="Times New Roman" w:hAnsi="Times New Roman" w:cs="Times New Roman"/>
        </w:rPr>
        <w:t xml:space="preserve"> pp.72–77.</w:t>
      </w:r>
    </w:p>
    <w:sectPr w:rsidR="00A36204" w:rsidRPr="00A36204" w:rsidSect="0065211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36369"/>
    <w:multiLevelType w:val="multilevel"/>
    <w:tmpl w:val="0A7A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210424"/>
    <w:multiLevelType w:val="hybridMultilevel"/>
    <w:tmpl w:val="100E5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F679D5"/>
    <w:multiLevelType w:val="hybridMultilevel"/>
    <w:tmpl w:val="A60ED1A6"/>
    <w:lvl w:ilvl="0" w:tplc="B04ABD24">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C227D9E"/>
    <w:multiLevelType w:val="hybridMultilevel"/>
    <w:tmpl w:val="EA5212D4"/>
    <w:lvl w:ilvl="0" w:tplc="B04ABD24">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DEF"/>
    <w:rsid w:val="00021F4F"/>
    <w:rsid w:val="000311F8"/>
    <w:rsid w:val="00073C86"/>
    <w:rsid w:val="0009074C"/>
    <w:rsid w:val="000B0378"/>
    <w:rsid w:val="000B2175"/>
    <w:rsid w:val="000F51A0"/>
    <w:rsid w:val="001067D6"/>
    <w:rsid w:val="00141C91"/>
    <w:rsid w:val="00220BE4"/>
    <w:rsid w:val="002946AC"/>
    <w:rsid w:val="002F6471"/>
    <w:rsid w:val="0032328A"/>
    <w:rsid w:val="00345986"/>
    <w:rsid w:val="00365CE6"/>
    <w:rsid w:val="003D5E5A"/>
    <w:rsid w:val="003D63B3"/>
    <w:rsid w:val="003F2704"/>
    <w:rsid w:val="00402F92"/>
    <w:rsid w:val="004255EC"/>
    <w:rsid w:val="0043371C"/>
    <w:rsid w:val="00464DEF"/>
    <w:rsid w:val="00476872"/>
    <w:rsid w:val="004A7239"/>
    <w:rsid w:val="005238B9"/>
    <w:rsid w:val="00550440"/>
    <w:rsid w:val="00577D26"/>
    <w:rsid w:val="005E1539"/>
    <w:rsid w:val="00621A6A"/>
    <w:rsid w:val="0065211F"/>
    <w:rsid w:val="00673F73"/>
    <w:rsid w:val="00693626"/>
    <w:rsid w:val="006A384D"/>
    <w:rsid w:val="006D4955"/>
    <w:rsid w:val="006F4753"/>
    <w:rsid w:val="006F6CF2"/>
    <w:rsid w:val="007076CB"/>
    <w:rsid w:val="00730EEC"/>
    <w:rsid w:val="007505D8"/>
    <w:rsid w:val="0075540B"/>
    <w:rsid w:val="007908DB"/>
    <w:rsid w:val="007A7CE1"/>
    <w:rsid w:val="007B14AD"/>
    <w:rsid w:val="007D5B48"/>
    <w:rsid w:val="007F6A3E"/>
    <w:rsid w:val="0087005E"/>
    <w:rsid w:val="00933AA2"/>
    <w:rsid w:val="00A36204"/>
    <w:rsid w:val="00A54411"/>
    <w:rsid w:val="00A724F8"/>
    <w:rsid w:val="00A7333A"/>
    <w:rsid w:val="00A80677"/>
    <w:rsid w:val="00AC4D48"/>
    <w:rsid w:val="00B80276"/>
    <w:rsid w:val="00B91A21"/>
    <w:rsid w:val="00BB478D"/>
    <w:rsid w:val="00BE1E3A"/>
    <w:rsid w:val="00C74379"/>
    <w:rsid w:val="00CA2727"/>
    <w:rsid w:val="00CC40F1"/>
    <w:rsid w:val="00CC53FE"/>
    <w:rsid w:val="00CD68DB"/>
    <w:rsid w:val="00CE05F3"/>
    <w:rsid w:val="00D26D34"/>
    <w:rsid w:val="00D67B95"/>
    <w:rsid w:val="00D7002A"/>
    <w:rsid w:val="00D97815"/>
    <w:rsid w:val="00EC2AC7"/>
    <w:rsid w:val="00F31FC3"/>
    <w:rsid w:val="00F55ED8"/>
    <w:rsid w:val="00F57ED9"/>
    <w:rsid w:val="00FA640F"/>
    <w:rsid w:val="00FD05E8"/>
    <w:rsid w:val="00FE1B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D366D"/>
  <w15:chartTrackingRefBased/>
  <w15:docId w15:val="{28CB1596-181B-524E-83BE-62D5CD8DF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71C"/>
    <w:pPr>
      <w:ind w:left="720"/>
      <w:contextualSpacing/>
    </w:pPr>
  </w:style>
  <w:style w:type="character" w:styleId="PlaceholderText">
    <w:name w:val="Placeholder Text"/>
    <w:basedOn w:val="DefaultParagraphFont"/>
    <w:uiPriority w:val="99"/>
    <w:semiHidden/>
    <w:rsid w:val="003D63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122851">
      <w:bodyDiv w:val="1"/>
      <w:marLeft w:val="0"/>
      <w:marRight w:val="0"/>
      <w:marTop w:val="0"/>
      <w:marBottom w:val="0"/>
      <w:divBdr>
        <w:top w:val="none" w:sz="0" w:space="0" w:color="auto"/>
        <w:left w:val="none" w:sz="0" w:space="0" w:color="auto"/>
        <w:bottom w:val="none" w:sz="0" w:space="0" w:color="auto"/>
        <w:right w:val="none" w:sz="0" w:space="0" w:color="auto"/>
      </w:divBdr>
    </w:div>
    <w:div w:id="768164257">
      <w:bodyDiv w:val="1"/>
      <w:marLeft w:val="0"/>
      <w:marRight w:val="0"/>
      <w:marTop w:val="0"/>
      <w:marBottom w:val="0"/>
      <w:divBdr>
        <w:top w:val="none" w:sz="0" w:space="0" w:color="auto"/>
        <w:left w:val="none" w:sz="0" w:space="0" w:color="auto"/>
        <w:bottom w:val="none" w:sz="0" w:space="0" w:color="auto"/>
        <w:right w:val="none" w:sz="0" w:space="0" w:color="auto"/>
      </w:divBdr>
      <w:divsChild>
        <w:div w:id="166554894">
          <w:marLeft w:val="0"/>
          <w:marRight w:val="0"/>
          <w:marTop w:val="0"/>
          <w:marBottom w:val="0"/>
          <w:divBdr>
            <w:top w:val="none" w:sz="0" w:space="0" w:color="auto"/>
            <w:left w:val="none" w:sz="0" w:space="0" w:color="auto"/>
            <w:bottom w:val="none" w:sz="0" w:space="0" w:color="auto"/>
            <w:right w:val="none" w:sz="0" w:space="0" w:color="auto"/>
          </w:divBdr>
        </w:div>
        <w:div w:id="1522550481">
          <w:marLeft w:val="0"/>
          <w:marRight w:val="0"/>
          <w:marTop w:val="0"/>
          <w:marBottom w:val="0"/>
          <w:divBdr>
            <w:top w:val="none" w:sz="0" w:space="0" w:color="auto"/>
            <w:left w:val="none" w:sz="0" w:space="0" w:color="auto"/>
            <w:bottom w:val="none" w:sz="0" w:space="0" w:color="auto"/>
            <w:right w:val="none" w:sz="0" w:space="0" w:color="auto"/>
          </w:divBdr>
        </w:div>
        <w:div w:id="1480734108">
          <w:marLeft w:val="0"/>
          <w:marRight w:val="0"/>
          <w:marTop w:val="0"/>
          <w:marBottom w:val="0"/>
          <w:divBdr>
            <w:top w:val="none" w:sz="0" w:space="0" w:color="auto"/>
            <w:left w:val="none" w:sz="0" w:space="0" w:color="auto"/>
            <w:bottom w:val="none" w:sz="0" w:space="0" w:color="auto"/>
            <w:right w:val="none" w:sz="0" w:space="0" w:color="auto"/>
          </w:divBdr>
        </w:div>
        <w:div w:id="996222607">
          <w:marLeft w:val="0"/>
          <w:marRight w:val="0"/>
          <w:marTop w:val="0"/>
          <w:marBottom w:val="0"/>
          <w:divBdr>
            <w:top w:val="none" w:sz="0" w:space="0" w:color="auto"/>
            <w:left w:val="none" w:sz="0" w:space="0" w:color="auto"/>
            <w:bottom w:val="none" w:sz="0" w:space="0" w:color="auto"/>
            <w:right w:val="none" w:sz="0" w:space="0" w:color="auto"/>
          </w:divBdr>
        </w:div>
        <w:div w:id="1532525044">
          <w:marLeft w:val="0"/>
          <w:marRight w:val="0"/>
          <w:marTop w:val="0"/>
          <w:marBottom w:val="0"/>
          <w:divBdr>
            <w:top w:val="none" w:sz="0" w:space="0" w:color="auto"/>
            <w:left w:val="none" w:sz="0" w:space="0" w:color="auto"/>
            <w:bottom w:val="none" w:sz="0" w:space="0" w:color="auto"/>
            <w:right w:val="none" w:sz="0" w:space="0" w:color="auto"/>
          </w:divBdr>
        </w:div>
        <w:div w:id="705715438">
          <w:marLeft w:val="0"/>
          <w:marRight w:val="0"/>
          <w:marTop w:val="0"/>
          <w:marBottom w:val="0"/>
          <w:divBdr>
            <w:top w:val="none" w:sz="0" w:space="0" w:color="auto"/>
            <w:left w:val="none" w:sz="0" w:space="0" w:color="auto"/>
            <w:bottom w:val="none" w:sz="0" w:space="0" w:color="auto"/>
            <w:right w:val="none" w:sz="0" w:space="0" w:color="auto"/>
          </w:divBdr>
        </w:div>
      </w:divsChild>
    </w:div>
    <w:div w:id="774132514">
      <w:bodyDiv w:val="1"/>
      <w:marLeft w:val="0"/>
      <w:marRight w:val="0"/>
      <w:marTop w:val="0"/>
      <w:marBottom w:val="0"/>
      <w:divBdr>
        <w:top w:val="none" w:sz="0" w:space="0" w:color="auto"/>
        <w:left w:val="none" w:sz="0" w:space="0" w:color="auto"/>
        <w:bottom w:val="none" w:sz="0" w:space="0" w:color="auto"/>
        <w:right w:val="none" w:sz="0" w:space="0" w:color="auto"/>
      </w:divBdr>
    </w:div>
    <w:div w:id="1454326525">
      <w:bodyDiv w:val="1"/>
      <w:marLeft w:val="0"/>
      <w:marRight w:val="0"/>
      <w:marTop w:val="0"/>
      <w:marBottom w:val="0"/>
      <w:divBdr>
        <w:top w:val="none" w:sz="0" w:space="0" w:color="auto"/>
        <w:left w:val="none" w:sz="0" w:space="0" w:color="auto"/>
        <w:bottom w:val="none" w:sz="0" w:space="0" w:color="auto"/>
        <w:right w:val="none" w:sz="0" w:space="0" w:color="auto"/>
      </w:divBdr>
    </w:div>
    <w:div w:id="1609383856">
      <w:bodyDiv w:val="1"/>
      <w:marLeft w:val="0"/>
      <w:marRight w:val="0"/>
      <w:marTop w:val="0"/>
      <w:marBottom w:val="0"/>
      <w:divBdr>
        <w:top w:val="none" w:sz="0" w:space="0" w:color="auto"/>
        <w:left w:val="none" w:sz="0" w:space="0" w:color="auto"/>
        <w:bottom w:val="none" w:sz="0" w:space="0" w:color="auto"/>
        <w:right w:val="none" w:sz="0" w:space="0" w:color="auto"/>
      </w:divBdr>
      <w:divsChild>
        <w:div w:id="1787037223">
          <w:marLeft w:val="0"/>
          <w:marRight w:val="0"/>
          <w:marTop w:val="0"/>
          <w:marBottom w:val="0"/>
          <w:divBdr>
            <w:top w:val="none" w:sz="0" w:space="0" w:color="auto"/>
            <w:left w:val="none" w:sz="0" w:space="0" w:color="auto"/>
            <w:bottom w:val="none" w:sz="0" w:space="0" w:color="auto"/>
            <w:right w:val="none" w:sz="0" w:space="0" w:color="auto"/>
          </w:divBdr>
        </w:div>
        <w:div w:id="154955014">
          <w:marLeft w:val="0"/>
          <w:marRight w:val="0"/>
          <w:marTop w:val="0"/>
          <w:marBottom w:val="0"/>
          <w:divBdr>
            <w:top w:val="none" w:sz="0" w:space="0" w:color="auto"/>
            <w:left w:val="none" w:sz="0" w:space="0" w:color="auto"/>
            <w:bottom w:val="none" w:sz="0" w:space="0" w:color="auto"/>
            <w:right w:val="none" w:sz="0" w:space="0" w:color="auto"/>
          </w:divBdr>
        </w:div>
        <w:div w:id="868839403">
          <w:marLeft w:val="0"/>
          <w:marRight w:val="0"/>
          <w:marTop w:val="0"/>
          <w:marBottom w:val="0"/>
          <w:divBdr>
            <w:top w:val="none" w:sz="0" w:space="0" w:color="auto"/>
            <w:left w:val="none" w:sz="0" w:space="0" w:color="auto"/>
            <w:bottom w:val="none" w:sz="0" w:space="0" w:color="auto"/>
            <w:right w:val="none" w:sz="0" w:space="0" w:color="auto"/>
          </w:divBdr>
        </w:div>
        <w:div w:id="575555475">
          <w:marLeft w:val="0"/>
          <w:marRight w:val="0"/>
          <w:marTop w:val="0"/>
          <w:marBottom w:val="0"/>
          <w:divBdr>
            <w:top w:val="none" w:sz="0" w:space="0" w:color="auto"/>
            <w:left w:val="none" w:sz="0" w:space="0" w:color="auto"/>
            <w:bottom w:val="none" w:sz="0" w:space="0" w:color="auto"/>
            <w:right w:val="none" w:sz="0" w:space="0" w:color="auto"/>
          </w:divBdr>
        </w:div>
        <w:div w:id="1864973850">
          <w:marLeft w:val="0"/>
          <w:marRight w:val="0"/>
          <w:marTop w:val="0"/>
          <w:marBottom w:val="0"/>
          <w:divBdr>
            <w:top w:val="none" w:sz="0" w:space="0" w:color="auto"/>
            <w:left w:val="none" w:sz="0" w:space="0" w:color="auto"/>
            <w:bottom w:val="none" w:sz="0" w:space="0" w:color="auto"/>
            <w:right w:val="none" w:sz="0" w:space="0" w:color="auto"/>
          </w:divBdr>
        </w:div>
        <w:div w:id="1957953555">
          <w:marLeft w:val="0"/>
          <w:marRight w:val="0"/>
          <w:marTop w:val="0"/>
          <w:marBottom w:val="0"/>
          <w:divBdr>
            <w:top w:val="none" w:sz="0" w:space="0" w:color="auto"/>
            <w:left w:val="none" w:sz="0" w:space="0" w:color="auto"/>
            <w:bottom w:val="none" w:sz="0" w:space="0" w:color="auto"/>
            <w:right w:val="none" w:sz="0" w:space="0" w:color="auto"/>
          </w:divBdr>
        </w:div>
        <w:div w:id="1333145559">
          <w:marLeft w:val="0"/>
          <w:marRight w:val="0"/>
          <w:marTop w:val="0"/>
          <w:marBottom w:val="0"/>
          <w:divBdr>
            <w:top w:val="none" w:sz="0" w:space="0" w:color="auto"/>
            <w:left w:val="none" w:sz="0" w:space="0" w:color="auto"/>
            <w:bottom w:val="none" w:sz="0" w:space="0" w:color="auto"/>
            <w:right w:val="none" w:sz="0" w:space="0" w:color="auto"/>
          </w:divBdr>
        </w:div>
        <w:div w:id="1758943322">
          <w:marLeft w:val="0"/>
          <w:marRight w:val="0"/>
          <w:marTop w:val="0"/>
          <w:marBottom w:val="0"/>
          <w:divBdr>
            <w:top w:val="none" w:sz="0" w:space="0" w:color="auto"/>
            <w:left w:val="none" w:sz="0" w:space="0" w:color="auto"/>
            <w:bottom w:val="none" w:sz="0" w:space="0" w:color="auto"/>
            <w:right w:val="none" w:sz="0" w:space="0" w:color="auto"/>
          </w:divBdr>
        </w:div>
        <w:div w:id="650796725">
          <w:marLeft w:val="0"/>
          <w:marRight w:val="0"/>
          <w:marTop w:val="0"/>
          <w:marBottom w:val="0"/>
          <w:divBdr>
            <w:top w:val="none" w:sz="0" w:space="0" w:color="auto"/>
            <w:left w:val="none" w:sz="0" w:space="0" w:color="auto"/>
            <w:bottom w:val="none" w:sz="0" w:space="0" w:color="auto"/>
            <w:right w:val="none" w:sz="0" w:space="0" w:color="auto"/>
          </w:divBdr>
        </w:div>
        <w:div w:id="1652757124">
          <w:marLeft w:val="0"/>
          <w:marRight w:val="0"/>
          <w:marTop w:val="0"/>
          <w:marBottom w:val="0"/>
          <w:divBdr>
            <w:top w:val="none" w:sz="0" w:space="0" w:color="auto"/>
            <w:left w:val="none" w:sz="0" w:space="0" w:color="auto"/>
            <w:bottom w:val="none" w:sz="0" w:space="0" w:color="auto"/>
            <w:right w:val="none" w:sz="0" w:space="0" w:color="auto"/>
          </w:divBdr>
        </w:div>
      </w:divsChild>
    </w:div>
    <w:div w:id="1816415159">
      <w:bodyDiv w:val="1"/>
      <w:marLeft w:val="0"/>
      <w:marRight w:val="0"/>
      <w:marTop w:val="0"/>
      <w:marBottom w:val="0"/>
      <w:divBdr>
        <w:top w:val="none" w:sz="0" w:space="0" w:color="auto"/>
        <w:left w:val="none" w:sz="0" w:space="0" w:color="auto"/>
        <w:bottom w:val="none" w:sz="0" w:space="0" w:color="auto"/>
        <w:right w:val="none" w:sz="0" w:space="0" w:color="auto"/>
      </w:divBdr>
      <w:divsChild>
        <w:div w:id="1282539623">
          <w:marLeft w:val="0"/>
          <w:marRight w:val="0"/>
          <w:marTop w:val="0"/>
          <w:marBottom w:val="0"/>
          <w:divBdr>
            <w:top w:val="none" w:sz="0" w:space="0" w:color="auto"/>
            <w:left w:val="none" w:sz="0" w:space="0" w:color="auto"/>
            <w:bottom w:val="none" w:sz="0" w:space="0" w:color="auto"/>
            <w:right w:val="none" w:sz="0" w:space="0" w:color="auto"/>
          </w:divBdr>
        </w:div>
        <w:div w:id="102455478">
          <w:marLeft w:val="0"/>
          <w:marRight w:val="0"/>
          <w:marTop w:val="0"/>
          <w:marBottom w:val="0"/>
          <w:divBdr>
            <w:top w:val="none" w:sz="0" w:space="0" w:color="auto"/>
            <w:left w:val="none" w:sz="0" w:space="0" w:color="auto"/>
            <w:bottom w:val="none" w:sz="0" w:space="0" w:color="auto"/>
            <w:right w:val="none" w:sz="0" w:space="0" w:color="auto"/>
          </w:divBdr>
        </w:div>
        <w:div w:id="1898977302">
          <w:marLeft w:val="0"/>
          <w:marRight w:val="0"/>
          <w:marTop w:val="0"/>
          <w:marBottom w:val="0"/>
          <w:divBdr>
            <w:top w:val="none" w:sz="0" w:space="0" w:color="auto"/>
            <w:left w:val="none" w:sz="0" w:space="0" w:color="auto"/>
            <w:bottom w:val="none" w:sz="0" w:space="0" w:color="auto"/>
            <w:right w:val="none" w:sz="0" w:space="0" w:color="auto"/>
          </w:divBdr>
        </w:div>
        <w:div w:id="593131705">
          <w:marLeft w:val="0"/>
          <w:marRight w:val="0"/>
          <w:marTop w:val="0"/>
          <w:marBottom w:val="0"/>
          <w:divBdr>
            <w:top w:val="none" w:sz="0" w:space="0" w:color="auto"/>
            <w:left w:val="none" w:sz="0" w:space="0" w:color="auto"/>
            <w:bottom w:val="none" w:sz="0" w:space="0" w:color="auto"/>
            <w:right w:val="none" w:sz="0" w:space="0" w:color="auto"/>
          </w:divBdr>
        </w:div>
        <w:div w:id="1945844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E7590C36-63C6-674D-A174-09BBF7868536}"/>
      </w:docPartPr>
      <w:docPartBody>
        <w:p w:rsidR="00815EC4" w:rsidRDefault="00815EC4">
          <w:r w:rsidRPr="007B3D7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EC4"/>
    <w:rsid w:val="00815E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5EC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AF9B15A-AE89-CC4B-BD6C-7E062F704928}">
  <we:reference id="wa104382081" version="1.7.0.0" store="en-US" storeType="OMEX"/>
  <we:alternateReferences>
    <we:reference id="wa104382081" version="1.7.0.0" store="" storeType="OMEX"/>
  </we:alternateReferences>
  <we:properties>
    <we:property name="MENDELEY_CITATIONS" value="[{&quot;properties&quot;:{&quot;noteIndex&quot;:0},&quot;citationID&quot;:&quot;MENDELEY_CITATION_40602290-325b-4226-b66c-c5bc69f7c7f3&quot;,&quot;isEdited&quot;:false,&quot;citationItems&quot;:[{&quot;id&quot;:&quot;01fe8445-cad9-3ab6-ad39-0a3767bb1b7d&quot;,&quot;itemData&quot;:{&quot;type&quot;:&quot;article-journal&quot;,&quot;id&quot;:&quot;01fe8445-cad9-3ab6-ad39-0a3767bb1b7d&quot;,&quot;title&quot;:&quot;Myth and Momentum: A Critique of Environmental Impact Assessments&quot;,&quot;author&quot;:[{&quot;family&quot;:&quot;Wright&quot;,&quot;given&quot;:&quot;Andrew J.&quot;,&quot;parse-names&quot;:false,&quot;dropping-particle&quot;:&quot;&quot;,&quot;non-dropping-particle&quot;:&quot;&quot;},{&quot;family&quot;:&quot;Dolman&quot;,&quot;given&quot;:&quot;Sarah J.&quot;,&quot;parse-names&quot;:false,&quot;dropping-particle&quot;:&quot;&quot;,&quot;non-dropping-particle&quot;:&quot;&quot;},{&quot;family&quot;:&quot;Jasny&quot;,&quot;given&quot;:&quot;Michael&quot;,&quot;parse-names&quot;:false,&quot;dropping-particle&quot;:&quot;&quot;,&quot;non-dropping-particle&quot;:&quot;&quot;},{&quot;family&quot;:&quot;Parsons&quot;,&quot;given&quot;:&quot;E. C. M.&quot;,&quot;parse-names&quot;:false,&quot;dropping-particle&quot;:&quot;&quot;,&quot;non-dropping-particle&quot;:&quot;&quot;},{&quot;family&quot;:&quot;Schiedek&quot;,&quot;given&quot;:&quot;Doris&quot;,&quot;parse-names&quot;:false,&quot;dropping-particle&quot;:&quot;&quot;,&quot;non-dropping-particle&quot;:&quot;&quot;},{&quot;family&quot;:&quot;Young&quot;,&quot;given&quot;:&quot;Sharon B.&quot;,&quot;parse-names&quot;:false,&quot;dropping-particle&quot;:&quot;&quot;,&quot;non-dropping-particle&quot;:&quot;&quot;}],&quot;container-title&quot;:&quot;Journal of Environmental Protection&quot;,&quot;accessed&quot;:{&quot;date-parts&quot;:[[2020,3,5]]},&quot;DOI&quot;:&quot;10.4236/jep.2013.48a2009&quot;,&quot;ISSN&quot;:&quot;2152-2197&quot;,&quot;issued&quot;:{&quot;date-parts&quot;:[[2013,8,16]]},&quot;page&quot;:&quot;72-77&quot;,&quot;abstract&quot;:&quot;Environmental Impact Assessments (EIAs) are designed to evaluate all reasonably foreseeable environmental consequences of human activities. Appropriate governmental scientists traditionally produced EIAs for management agencies in many countries. However, many EIAs are now contracted out, often to the lowest bidder without due consideration of expertise. Others suffer from limited agency resources. Consequently, many EIAs have become insufficiently researched documents that draw heavily from previous EIAs while being rushed to completion to meet legislative deadlines or avoid delaying projects. Habitual treatment of topics often ignores recent scientific literature, perpetuating previous misconceptions and analytical flaws. Common problems in EIAs discussing wildlife include: a focus on lethal takes, with little consideration of non-lethal impacts or habitat degradation; a general dismissal of the possibility that non-significant (to the resource) impacts can, when combined, become significant; and the assumption that behavioral habituation in animals represents an end of impact. Incentive to break the cycle is somewhat lacking in this now often commercially competitive environment, where contracts are increasingly awarded by industry, generating potential conflict of interest. We believe investment in thorough, impartially written, scientifically-based and up-to-date EIAs is important for appropriately representing and managing ecosystems and their resources and avoiding potentially expensive litigation.&quot;,&quot;publisher&quot;:&quot;Scientific Research Publishing, Inc,&quot;,&quot;issue&quot;:&quot;08&quot;,&quot;volume&quot;:&quot;04&quot;},&quot;isTemporary&quot;:false}]},{&quot;properties&quot;:{&quot;noteIndex&quot;:0},&quot;citationID&quot;:&quot;MENDELEY_CITATION_57213d25-7f8e-4791-b821-5d34684608ec&quot;,&quot;isEdited&quot;:false,&quot;citationItems&quot;:[{&quot;id&quot;:&quot;b8604f6e-d4f5-3e86-968d-a7cccd6d1ca6&quot;,&quot;itemData&quot;:{&quot;type&quot;:&quot;article-journal&quot;,&quot;id&quot;:&quot;b8604f6e-d4f5-3e86-968d-a7cccd6d1ca6&quot;,&quot;title&quot;:&quot;Strategic environmental assessment methodologies - Applications within the energy sector&quot;,&quot;author&quot;:[{&quot;family&quot;:&quot;Finnveden&quot;,&quot;given&quot;:&quot;Göran&quot;,&quot;parse-names&quot;:false,&quot;dropping-particle&quot;:&quot;&quot;,&quot;non-dropping-particle&quot;:&quot;&quot;},{&quot;family&quot;:&quot;Nilsson&quot;,&quot;given&quot;:&quot;Måns&quot;,&quot;parse-names&quot;:false,&quot;dropping-particle&quot;:&quot;&quot;,&quot;non-dropping-particle&quot;:&quot;&quot;},{&quot;family&quot;:&quot;Johansson&quot;,&quot;given&quot;:&quot;Jessica&quot;,&quot;parse-names&quot;:false,&quot;dropping-particle&quot;:&quot;&quot;,&quot;non-dropping-particle&quot;:&quot;&quot;},{&quot;family&quot;:&quot;Persson&quot;,&quot;given&quot;:&quot;Åsa&quot;,&quot;parse-names&quot;:false,&quot;dropping-particle&quot;:&quot;&quot;,&quot;non-dropping-particle&quot;:&quot;&quot;},{&quot;family&quot;:&quot;Moberg&quot;,&quot;given&quot;:&quot;Åsa&quot;,&quot;parse-names&quot;:false,&quot;dropping-particle&quot;:&quot;&quot;,&quot;non-dropping-particle&quot;:&quot;&quot;},{&quot;family&quot;:&quot;Carlsson&quot;,&quot;given&quot;:&quot;Tomas&quot;,&quot;parse-names&quot;:false,&quot;dropping-particle&quot;:&quot;&quot;,&quot;non-dropping-particle&quot;:&quot;&quot;}],&quot;container-title&quot;:&quot;Environmental Impact Assessment Review&quot;,&quot;DOI&quot;:&quot;10.1016/S0195-9255(02)00089-6&quot;,&quot;ISSN&quot;:&quot;01959255&quot;,&quot;issued&quot;:{&quot;date-parts&quot;:[[2003]]},&quot;page&quot;:&quot;91-123&quot;,&quot;abstract&quot;:&quot;Strategic Environmental Assessment (SEA) is a procedural tool and within the framework of SEA, several different types of analytical tools can be used in the assessment. Several analytical tools are presented and their relation to SEA is discussed including methods for future studies, Life Cycle Assessment, Risk Assessment, Economic Valuation and Multi-Attribute Approaches. A framework for the integration of some analytical tools in the SEA process is suggested. It is noted that the available analytical tools primarily cover some types of environmental impacts related to emissions of pollutants. Tools covering impacts on ecosystems and landscapes are more limited. The relation between application and choice of analytical tools is discussed. It is suggested that SEAs used to support a choice between different alternatives require more quantitative methods, whereas SEAs used to identify critical aspects and suggest mitigation strategies can suffice with more qualitative methods. The possible and desired degree of site-specificity in the assessment can also influence the choice of methods. It is also suggested that values and world views can be of importance for judging whether different types of tools and results are meaningful and useful. Since values and world views differ between different stakeholders, consultation and understanding are important to ensure credibility and relevance. © 2002 Elsevier Science Inc. All rights reserved.&quot;,&quot;publisher&quot;:&quot;Elsevier Inc.&quot;,&quot;issue&quot;:&quot;1&quot;,&quot;volume&quot;:&quot;23&quot;},&quot;isTemporary&quot;:false}]},{&quot;properties&quot;:{&quot;noteIndex&quot;:0},&quot;citationID&quot;:&quot;MENDELEY_CITATION_41ec9896-b91f-4605-816a-bd0feb9b1071&quot;,&quot;isEdited&quot;:false,&quot;citationItems&quot;:[{&quot;id&quot;:&quot;01fe8445-cad9-3ab6-ad39-0a3767bb1b7d&quot;,&quot;itemData&quot;:{&quot;type&quot;:&quot;article-journal&quot;,&quot;id&quot;:&quot;01fe8445-cad9-3ab6-ad39-0a3767bb1b7d&quot;,&quot;title&quot;:&quot;Myth and Momentum: A Critique of Environmental Impact Assessments&quot;,&quot;author&quot;:[{&quot;family&quot;:&quot;Wright&quot;,&quot;given&quot;:&quot;Andrew J.&quot;,&quot;parse-names&quot;:false,&quot;dropping-particle&quot;:&quot;&quot;,&quot;non-dropping-particle&quot;:&quot;&quot;},{&quot;family&quot;:&quot;Dolman&quot;,&quot;given&quot;:&quot;Sarah J.&quot;,&quot;parse-names&quot;:false,&quot;dropping-particle&quot;:&quot;&quot;,&quot;non-dropping-particle&quot;:&quot;&quot;},{&quot;family&quot;:&quot;Jasny&quot;,&quot;given&quot;:&quot;Michael&quot;,&quot;parse-names&quot;:false,&quot;dropping-particle&quot;:&quot;&quot;,&quot;non-dropping-particle&quot;:&quot;&quot;},{&quot;family&quot;:&quot;Parsons&quot;,&quot;given&quot;:&quot;E. C. M.&quot;,&quot;parse-names&quot;:false,&quot;dropping-particle&quot;:&quot;&quot;,&quot;non-dropping-particle&quot;:&quot;&quot;},{&quot;family&quot;:&quot;Schiedek&quot;,&quot;given&quot;:&quot;Doris&quot;,&quot;parse-names&quot;:false,&quot;dropping-particle&quot;:&quot;&quot;,&quot;non-dropping-particle&quot;:&quot;&quot;},{&quot;family&quot;:&quot;Young&quot;,&quot;given&quot;:&quot;Sharon B.&quot;,&quot;parse-names&quot;:false,&quot;dropping-particle&quot;:&quot;&quot;,&quot;non-dropping-particle&quot;:&quot;&quot;}],&quot;container-title&quot;:&quot;Journal of Environmental Protection&quot;,&quot;accessed&quot;:{&quot;date-parts&quot;:[[2020,3,5]]},&quot;DOI&quot;:&quot;10.4236/jep.2013.48a2009&quot;,&quot;ISSN&quot;:&quot;2152-2197&quot;,&quot;issued&quot;:{&quot;date-parts&quot;:[[2013,8,16]]},&quot;page&quot;:&quot;72-77&quot;,&quot;abstract&quot;:&quot;Environmental Impact Assessments (EIAs) are designed to evaluate all reasonably foreseeable environmental consequences of human activities. Appropriate governmental scientists traditionally produced EIAs for management agencies in many countries. However, many EIAs are now contracted out, often to the lowest bidder without due consideration of expertise. Others suffer from limited agency resources. Consequently, many EIAs have become insufficiently researched documents that draw heavily from previous EIAs while being rushed to completion to meet legislative deadlines or avoid delaying projects. Habitual treatment of topics often ignores recent scientific literature, perpetuating previous misconceptions and analytical flaws. Common problems in EIAs discussing wildlife include: a focus on lethal takes, with little consideration of non-lethal impacts or habitat degradation; a general dismissal of the possibility that non-significant (to the resource) impacts can, when combined, become significant; and the assumption that behavioral habituation in animals represents an end of impact. Incentive to break the cycle is somewhat lacking in this now often commercially competitive environment, where contracts are increasingly awarded by industry, generating potential conflict of interest. We believe investment in thorough, impartially written, scientifically-based and up-to-date EIAs is important for appropriately representing and managing ecosystems and their resources and avoiding potentially expensive litigation.&quot;,&quot;publisher&quot;:&quot;Scientific Research Publishing, Inc,&quot;,&quot;issue&quot;:&quot;08&quot;,&quot;volume&quot;:&quot;04&quot;},&quot;isTemporary&quot;:false}]},{&quot;properties&quot;:{&quot;noteIndex&quot;:0},&quot;citationID&quot;:&quot;MENDELEY_CITATION_0fca3916-69c7-430a-9748-cab8c63c8578&quot;,&quot;isEdited&quot;:false,&quot;citationItems&quot;:[{&quot;id&quot;:&quot;4dc0ea46-dd5c-3053-8108-5eed7e686e00&quot;,&quot;itemData&quot;:{&quot;type&quot;:&quot;article-journal&quot;,&quot;id&quot;:&quot;4dc0ea46-dd5c-3053-8108-5eed7e686e00&quot;,&quot;title&quot;:&quot;Informal knowledge processes: the underpinning for sustainability outcomes in EIA?&quot;,&quot;author&quot;:[{&quot;family&quot;:&quot;Bond&quot;,&quot;given&quot;:&quot;Alan J&quot;,&quot;parse-names&quot;:false,&quot;dropping-particle&quot;:&quot;&quot;,&quot;non-dropping-particle&quot;:&quot;&quot;},{&quot;family&quot;:&quot;udia Viegas&quot;,&quot;given&quot;:&quot;Clá&quot;,&quot;parse-names&quot;:false,&quot;dropping-particle&quot;:&quot;v&quot;,&quot;non-dropping-particle&quot;:&quot;&quot;},{&quot;family&quot;:&quot;Coelho de Souza Reinisch Coelho&quot;,&quot;given&quot;:&quot;Christianne&quot;,&quot;parse-names&quot;:false,&quot;dropping-particle&quot;:&quot;&quot;,&quot;non-dropping-particle&quot;:&quot;&quot;},{&quot;family&quot;:&quot;Maurício Selig&quot;,&quot;given&quot;:&quot;Paulo&quot;,&quot;parse-names&quot;:false,&quot;dropping-particle&quot;:&quot;&quot;,&quot;non-dropping-particle&quot;:&quot;&quot;}],&quot;accessed&quot;:{&quot;date-parts&quot;:[[2020,3,5]]},&quot;DOI&quot;:&quot;10.1016/j.jclepro.2009.09.002&quot;,&quot;URL&quot;:&quot;http://www.elsevier.com/copyright&quot;,&quot;issued&quot;:{&quot;date-parts&quot;:[[2009]]},&quot;abstract&quot;:&quot;Environmental Impact Assessment (EIA) was originally tailored for restructuring rules and values regarding environmental protection, through interdisciplinary work. EIA has developed as a tool for decision-making for the implementation of projects which potentially pose significant environmental impacts. This paper reviews the sustainability and interdisciplinarity assumptions inherent in EIA. It illustrates through a case study of a proposed landfill extension in Rio Grande do Sul, Brazil, that these principles can arise more from informal knowledge processes than from legal ones. It can be shown that interdisciplinarity is often misunderstood as multidisciplinarity or simple knowledge clustering, and sustainability has no common definition amongst EIA practitioners, but that there predominates an understanding which delivers weak sustainability, driven primarily by social and economic goals. The conclusion is that EIA cannot achieve the original vision set out in the world's first legislation adopted in 1970 unless a learning-organization approach is taken whereby: the critical role of informal knowledge is recognized; informal knowledge is properly managed by EIA teams to engender a common understanding of sustainable development goals; interdisciplinary and transdisciplinary working practices are adopted.&quot;},&quot;isTemporary&quot;:false}]},{&quot;properties&quot;:{&quot;noteIndex&quot;:0},&quot;citationID&quot;:&quot;MENDELEY_CITATION_ac374099-f8da-4fd8-8ac7-b326999e20a5&quot;,&quot;isEdited&quot;:false,&quot;citationItems&quot;:[{&quot;id&quot;:&quot;03ca2db4-edbe-3727-be99-60c79bf7ef8c&quot;,&quot;itemData&quot;:{&quot;type&quot;:&quot;article-journal&quot;,&quot;id&quot;:&quot;03ca2db4-edbe-3727-be99-60c79bf7ef8c&quot;,&quot;title&quot;:&quot;Reviewing the quality of environmental statements: review methods and findings&quot;,&quot;author&quot;:[{&quot;family&quot;:&quot;Lee&quot;,&quot;given&quot;:&quot;N.&quot;,&quot;parse-names&quot;:false,&quot;dropping-particle&quot;:&quot;&quot;,&quot;non-dropping-particle&quot;:&quot;&quot;},{&quot;family&quot;:&quot;Colley&quot;,&quot;given&quot;:&quot;R.&quot;,&quot;parse-names&quot;:false,&quot;dropping-particle&quot;:&quot;&quot;,&quot;non-dropping-particle&quot;:&quot;&quot;}],&quot;container-title&quot;:&quot;Town Planning Review&quot;,&quot;DOI&quot;:&quot;10.3828/tpr.62.2.04751m8q55826090&quot;,&quot;ISSN&quot;:&quot;0041-0020&quot;,&quot;issued&quot;:{&quot;date-parts&quot;:[[1991]]},&quot;page&quot;:&quot;239-248&quot;,&quot;abstract&quot;:&quot;Interest is growing in stimulating improvements in the quality of environmental statements: (ESs)/environmental impact statements (EISs) by providing for their systematic review. The different types of organisations and stages in the environmental assessment (EA)/environmental impact assessment (EIA) process at which EIS reviews might be undertaken are analysed. Previous studies relating to EIS review and quality are surveyed. The development of a new Environmental Statement Review Package is detailed and the findings based on its use in reviewing a sample of UK environmental statements are summarised. These suggest that only a minority of such EISs were of satisfactory quality. The possible reasons for poor quality are examined and measures to improve the situation are proposed. -Authors&quot;,&quot;issue&quot;:&quot;2&quot;,&quot;volume&quot;:&quot;62&quot;},&quot;isTemporary&quot;:false}]},{&quot;properties&quot;:{&quot;noteIndex&quot;:0},&quot;citationID&quot;:&quot;MENDELEY_CITATION_e2d41cb2-cb49-44d2-87a8-8224d9545c61&quot;,&quot;isEdited&quot;:false,&quot;citationItems&quot;:[{&quot;id&quot;:&quot;7a1aac62-65eb-3303-b779-90933f423072&quot;,&quot;itemData&quot;:{&quot;type&quot;:&quot;article-journal&quot;,&quot;id&quot;:&quot;7a1aac62-65eb-3303-b779-90933f423072&quot;,&quot;title&quot;:&quot;Does size matter? An evaluation of length and proportion of information in environmental impact statements&quot;,&quot;author&quot;:[{&quot;family&quot;:&quot;Fernández&quot;,&quot;given&quot;:&quot;Germán Marino Rivera&quot;,&quot;parse-names&quot;:false,&quot;dropping-particle&quot;:&quot;&quot;,&quot;non-dropping-particle&quot;:&quot;&quot;},{&quot;family&quot;:&quot;Brito&quot;,&quot;given&quot;:&quot;Ludmila Ladeira Alves&quot;,&quot;parse-names&quot;:false,&quot;dropping-particle&quot;:&quot;&quot;,&quot;non-dropping-particle&quot;:&quot;de&quot;},{&quot;family&quot;:&quot;Fonseca&quot;,&quot;given&quot;:&quot;Alberto&quot;,&quot;parse-names&quot;:false,&quot;dropping-particle&quot;:&quot;&quot;,&quot;non-dropping-particle&quot;:&quot;&quot;}],&quot;container-title&quot;:&quot;Environmental Impact Assessment Review&quot;,&quot;accessed&quot;:{&quot;date-parts&quot;:[[2020,3,6]]},&quot;DOI&quot;:&quot;10.1016/j.eiar.2018.08.002&quot;,&quot;ISSN&quot;:&quot;01959255&quot;,&quot;issued&quot;:{&quot;date-parts&quot;:[[2018,11,1]]},&quot;page&quot;:&quot;114-121&quot;,&quot;abstract&quot;:&quot;For decades, authors and institutions have argued that the quality of Environmental Impact Statements (EISs) is somehow affected by the volume of information they contain. Both too little and too much information can be a problem. However, very few academic studies have addressed the issue of EIS length in detail. The objective of this article was to systematically analyze the volume of information presented in EISs, using Brazil as the empirical context. More specifically, this study evaluated the volume and proportion of information disclosed in 49 Brazilian EISs. This study also tried to identify sectorial variations and whether variables such as project size and number of pages in Terms of References are likely determinants of information volume. &gt;146 thousand pages of EIS information were scrutinized in two rounds of content analysis. Data were organized in spreadsheets and then coded and analyzed through various descriptive and inferential statistical techniques. Overall, findings corroborate the fact that EISs are now significantly longer than the early ones, and still heavily loaded with baseline information. The average number of pages in EISs and in Non-technical Summaries was found to be 2993 and 94, respectively. Kruskal-Wallis and linear regression tests indicated that EIS length is likely affected by a combination of variables, including project size, territorial and sectorial characteristics. Such findings suggest that the historical approach of setting page limits to EISs through regulations and Terms of References is no longer appropriate for EIA practice in connection with large enterprises in Brazil, and arguably elsewhere. The article discusses its practical and academic implications, and highlights the need to further investigate the actual impacts of EIS length on decision-making.&quot;,&quot;publisher&quot;:&quot;Elsevier Inc.&quot;,&quot;volume&quot;:&quot;73&quot;},&quot;isTemporary&quot;:false}]},{&quot;properties&quot;:{&quot;noteIndex&quot;:0},&quot;citationID&quot;:&quot;MENDELEY_CITATION_fd01cc10-8126-417b-b497-ca27a9dbd754&quot;,&quot;isEdited&quot;:false,&quot;citationItems&quot;:[{&quot;id&quot;:&quot;04421269-3b24-332f-8a5d-a6c487ccde57&quot;,&quot;itemData&quot;:{&quot;type&quot;:&quot;report&quot;,&quot;id&quot;:&quot;04421269-3b24-332f-8a5d-a6c487ccde57&quot;,&quot;title&quot;:&quot;International Study of the Effectiveness of Environmental Assessment&quot;,&quot;author&quot;:[{&quot;family&quot;:&quot;Sadler&quot;,&quot;given&quot;:&quot;Barry&quot;,&quot;parse-names&quot;:false,&quot;dropping-particle&quot;:&quot;&quot;,&quot;non-dropping-particle&quot;:&quot;&quot;}],&quot;issued&quot;:{&quot;date-parts&quot;:[[1996]]}},&quot;isTemporary&quot;:false}]},{&quot;properties&quot;:{&quot;noteIndex&quot;:0},&quot;citationID&quot;:&quot;MENDELEY_CITATION_ba12a147-679a-46a7-90d1-18cb4a1a3938&quot;,&quot;isEdited&quot;:false,&quot;citationItems&quot;:[{&quot;id&quot;:&quot;98386b0b-7965-3b5b-984c-0c493097b2d2&quot;,&quot;itemData&quot;:{&quot;type&quot;:&quot;report&quot;,&quot;id&quot;:&quot;98386b0b-7965-3b5b-984c-0c493097b2d2&quot;,&quot;title&quot;:&quot;Hillend Non Technical Summary&quot;,&quot;author&quot;:[{&quot;family&quot;:&quot;Sweco&quot;,&quot;given&quot;:&quot;&quot;,&quot;parse-names&quot;:false,&quot;dropping-particle&quot;:&quot;&quot;,&quot;non-dropping-particle&quot;:&quot;&quot;}],&quot;issued&quot;:{&quot;date-parts&quot;:[[2019]]}},&quot;isTemporary&quot;:false},{&quot;id&quot;:&quot;91e1882b-31f1-3891-840a-323462d21a0d&quot;,&quot;itemData&quot;:{&quot;type&quot;:&quot;report&quot;,&quot;id&quot;:&quot;91e1882b-31f1-3891-840a-323462d21a0d&quot;,&quot;title&quot;:&quot;Scotland's Third National Planning Framework&quot;,&quot;author&quot;:[{&quot;family&quot;:&quot;Scottish Government&quot;,&quot;given&quot;:&quot;&quot;,&quot;parse-names&quot;:false,&quot;dropping-particle&quot;:&quot;&quot;,&quot;non-dropping-particle&quot;:&quot;&quot;}],&quot;issued&quot;:{&quot;date-parts&quot;:[[2014]]}},&quot;isTemporary&quot;:false},{&quot;id&quot;:&quot;fa91ab05-9560-330c-8e9c-60d0c449d78b&quot;,&quot;itemData&quot;:{&quot;type&quot;:&quot;report&quot;,&quot;id&quot;:&quot;fa91ab05-9560-330c-8e9c-60d0c449d78b&quot;,&quot;title&quot;:&quot;Scottish Planning Policy&quot;,&quot;author&quot;:[{&quot;family&quot;:&quot;Scottish Government&quot;,&quot;given&quot;:&quot;&quot;,&quot;parse-names&quot;:false,&quot;dropping-particle&quot;:&quot;&quot;,&quot;non-dropping-particle&quot;:&quot;&quot;}],&quot;ISBN&quot;:&quot;9781784125677&quot;,&quot;issued&quot;:{&quot;date-parts&quot;:[[2014]]}},&quot;isTemporary&quot;:false},{&quot;id&quot;:&quot;4eb4703d-86f9-33ae-8492-fa8266c490ef&quot;,&quot;itemData&quot;:{&quot;type&quot;:&quot;report&quot;,&quot;id&quot;:&quot;4eb4703d-86f9-33ae-8492-fa8266c490ef&quot;,&quot;title&quot;:&quot;Midlothian Local Development Plan&quot;,&quot;author&quot;:[{&quot;family&quot;:&quot;Midloathian Council&quot;,&quot;given&quot;:&quot;&quot;,&quot;parse-names&quot;:false,&quot;dropping-particle&quot;:&quot;&quot;,&quot;non-dropping-particle&quot;:&quot;&quot;}],&quot;URL&quot;:&quot;www.midlothian.gov.uk/MLDP&quot;,&quot;issued&quot;:{&quot;date-parts&quot;:[[2017]]},&quot;publisher-place&quot;:&quot;Edinburgh&quot;},&quot;isTemporary&quot;:false}]}]"/>
    <we:property name="MENDELEY_CITATIONS_STYLE" value="&quot;https://www.zotero.org/styles/university-of-york-harvard-environmen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4F8B7D-EBED-CE48-A0ED-65F20D21B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7</Pages>
  <Words>2832</Words>
  <Characters>16147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Maclean</dc:creator>
  <cp:keywords/>
  <dc:description/>
  <cp:lastModifiedBy>Angus Maclean</cp:lastModifiedBy>
  <cp:revision>15</cp:revision>
  <dcterms:created xsi:type="dcterms:W3CDTF">2020-03-04T12:25:00Z</dcterms:created>
  <dcterms:modified xsi:type="dcterms:W3CDTF">2020-03-08T13:43:00Z</dcterms:modified>
</cp:coreProperties>
</file>