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9C4D" w14:textId="77777777" w:rsidR="00E8333D" w:rsidRDefault="00E011CF">
      <w:pPr>
        <w:spacing w:after="80"/>
        <w:jc w:val="center"/>
      </w:pPr>
      <w:r>
        <w:rPr>
          <w:rFonts w:ascii="Arial" w:eastAsia="Arial" w:hAnsi="Arial" w:cs="Arial"/>
          <w:b/>
          <w:bCs/>
          <w:color w:val="1A1A5E"/>
          <w:sz w:val="44"/>
          <w:szCs w:val="44"/>
        </w:rPr>
        <w:t>Counting First:</w:t>
      </w:r>
    </w:p>
    <w:p w14:paraId="061E2ED6" w14:textId="77777777" w:rsidR="00E8333D" w:rsidRDefault="00E011CF">
      <w:pPr>
        <w:spacing w:after="140"/>
        <w:jc w:val="center"/>
      </w:pPr>
      <w:r>
        <w:rPr>
          <w:rFonts w:ascii="Arial" w:eastAsia="Arial" w:hAnsi="Arial" w:cs="Arial"/>
          <w:b/>
          <w:bCs/>
          <w:color w:val="1A1A5E"/>
          <w:sz w:val="32"/>
          <w:szCs w:val="32"/>
        </w:rPr>
        <w:t>A Causal-Set Foundation for the Photon Interaction Rate Framework</w:t>
      </w:r>
    </w:p>
    <w:p w14:paraId="4EF77AC5" w14:textId="77777777" w:rsidR="00E8333D" w:rsidRDefault="00E011CF">
      <w:pPr>
        <w:spacing w:after="100"/>
        <w:jc w:val="center"/>
      </w:pPr>
      <w:r>
        <w:rPr>
          <w:rFonts w:ascii="Arial" w:eastAsia="Arial" w:hAnsi="Arial" w:cs="Arial"/>
          <w:i/>
          <w:iCs/>
          <w:color w:val="444466"/>
          <w:sz w:val="26"/>
          <w:szCs w:val="26"/>
        </w:rPr>
        <w:t>Deriving Spacetime, Gravity, and Quantum Fields from Discrete Causal Counting</w:t>
      </w:r>
    </w:p>
    <w:p w14:paraId="7D3E287F" w14:textId="77777777" w:rsidR="00E8333D" w:rsidRPr="0051090A" w:rsidRDefault="00E011CF">
      <w:pPr>
        <w:spacing w:after="40"/>
        <w:jc w:val="center"/>
        <w:rPr>
          <w:lang w:val="fr-FR"/>
        </w:rPr>
      </w:pPr>
      <w:r w:rsidRPr="0051090A">
        <w:rPr>
          <w:color w:val="888888"/>
          <w:sz w:val="22"/>
          <w:szCs w:val="22"/>
          <w:lang w:val="fr-FR"/>
        </w:rPr>
        <w:t>Draft — April 2026</w:t>
      </w:r>
    </w:p>
    <w:p w14:paraId="54A4827A" w14:textId="77777777" w:rsidR="00E8333D" w:rsidRPr="0051090A" w:rsidRDefault="00E011CF">
      <w:pPr>
        <w:spacing w:after="400"/>
        <w:jc w:val="center"/>
        <w:rPr>
          <w:lang w:val="fr-FR"/>
        </w:rPr>
      </w:pPr>
      <w:r w:rsidRPr="0051090A">
        <w:rPr>
          <w:color w:val="888888"/>
          <w:sz w:val="22"/>
          <w:szCs w:val="22"/>
          <w:lang w:val="fr-FR"/>
        </w:rPr>
        <w:t>Elliot de Florinier</w:t>
      </w:r>
    </w:p>
    <w:p w14:paraId="462E635A" w14:textId="77777777" w:rsidR="00E8333D" w:rsidRPr="0051090A" w:rsidRDefault="00E8333D">
      <w:pPr>
        <w:pBdr>
          <w:bottom w:val="single" w:sz="4" w:space="1" w:color="1A1A5E"/>
        </w:pBdr>
        <w:spacing w:before="200" w:after="200"/>
        <w:rPr>
          <w:lang w:val="fr-FR"/>
        </w:rPr>
      </w:pPr>
    </w:p>
    <w:p w14:paraId="7CA65626" w14:textId="77777777" w:rsidR="00E8333D" w:rsidRPr="0051090A" w:rsidRDefault="00E011CF">
      <w:pPr>
        <w:pStyle w:val="Heading1"/>
        <w:rPr>
          <w:lang w:val="fr-FR"/>
        </w:rPr>
      </w:pPr>
      <w:r w:rsidRPr="0051090A">
        <w:rPr>
          <w:lang w:val="fr-FR"/>
        </w:rPr>
        <w:t>Abstract</w:t>
      </w:r>
    </w:p>
    <w:p w14:paraId="1443E392" w14:textId="77777777" w:rsidR="00E8333D" w:rsidRDefault="00E011CF">
      <w:pPr>
        <w:spacing w:after="180"/>
        <w:jc w:val="both"/>
      </w:pPr>
      <w:r>
        <w:t>The first three papers in this series established the Photon Interaction Rate (PIR) framework, extended it covariant form, and resolved four of six open problems including a partial derivation of the Minkowski metric from group-theoretic properties of inertial transformations. The honest assessment of Paper 3 was that the derivation remained circular: it invoked QED and the S-matrix — structures that presuppose Special Relativity — as its starting point. A genuine foundation requires going further back.</w:t>
      </w:r>
    </w:p>
    <w:p w14:paraId="0B7E23F2" w14:textId="77777777" w:rsidR="00E8333D" w:rsidRDefault="00E011CF">
      <w:pPr>
        <w:spacing w:after="180"/>
        <w:jc w:val="both"/>
      </w:pPr>
      <w:r>
        <w:t xml:space="preserve">This paper constructs that foundation. We begin from a single primitive: a locally finite partially ordered set of discrete events — a causal set — with no metric, no fields, no coordinates, and no prior physics. From this starting point, we derive the complete PIR programme in six steps. First, we show that any counting measure on a causal set consistent with local finiteness and covariance must be a Lorentz-invariant Poisson process, and that the density of this process is the Planck interaction rate </w:t>
      </w:r>
      <w:proofErr w:type="spellStart"/>
      <w:r>
        <w:t>R_n</w:t>
      </w:r>
      <w:proofErr w:type="spellEnd"/>
      <w:r>
        <w:t>. Second, we show that the ratio of future-directed to total links experienced by an observer worldline in this process yields the Partition Law R²_time + R²_space = R²_n without invoking the metric. Third, we show that the continuum limit of the causal set is the Minkowski spacetime of Special Relativity, with the metric emerging from the counting statistics of the sprinkling. Fourth, we derive the Einstein field equations from the thermodynamic consistency of the interaction budget across causal horizons, following and extending Jacobson (1995). Fifth, we show that the Feynman path integral of quantum field theory emerges from the sum over causal paths in the discrete lattice, with the Planck-scale discreteness providing a natural ultraviolet cutoff. Sixth, we identify three observational consequences of the discrete foundation that are not present in the continuum theories — including a modified dispersion relation for photons at ultra-high energies — and assess their testability against current and near-future observations.</w:t>
      </w:r>
    </w:p>
    <w:p w14:paraId="0135AE78" w14:textId="77777777" w:rsidR="00E8333D" w:rsidRDefault="00E011CF">
      <w:pPr>
        <w:spacing w:after="180"/>
        <w:jc w:val="both"/>
      </w:pPr>
      <w:r>
        <w:t>The result is a derivation in which counting is genuinely prior to geometry: spacetime, gravity, and quantum fields all emerge from a single combinatorial substratum. The PIR Partition Law is not derived from SR; it is the counting law from which SR itself emerges.</w:t>
      </w:r>
    </w:p>
    <w:p w14:paraId="0372E3E0" w14:textId="77777777" w:rsidR="00E8333D" w:rsidRDefault="00E8333D">
      <w:pPr>
        <w:pBdr>
          <w:bottom w:val="single" w:sz="4" w:space="1" w:color="1A1A5E"/>
        </w:pBdr>
        <w:spacing w:before="200" w:after="200"/>
      </w:pPr>
    </w:p>
    <w:p w14:paraId="699CB747" w14:textId="77777777" w:rsidR="00E8333D" w:rsidRDefault="00E011CF">
      <w:pPr>
        <w:pStyle w:val="Heading1"/>
      </w:pPr>
      <w:r>
        <w:lastRenderedPageBreak/>
        <w:t>1. Introduction: The Problem of Prior Physics</w:t>
      </w:r>
    </w:p>
    <w:p w14:paraId="3C301F41" w14:textId="77777777" w:rsidR="00E8333D" w:rsidRDefault="00E011CF">
      <w:pPr>
        <w:spacing w:after="180"/>
        <w:jc w:val="both"/>
      </w:pPr>
      <w:r>
        <w:t xml:space="preserve">A recurring theme across the first three papers in this series is what we have called the problem of prior physics. Each paper derived results that were formally correct but logically dependent on structures already contained in Special Relativity or General Relativity. Paper 1 derived the Partition Law from the Minkowski metric. Paper 2 derived the covariant Partition Law from the normalisation condition on a </w:t>
      </w:r>
      <w:proofErr w:type="spellStart"/>
      <w:r>
        <w:t>timelike</w:t>
      </w:r>
      <w:proofErr w:type="spellEnd"/>
      <w:r>
        <w:t xml:space="preserve"> 4-velocity — which is itself a statement about the Minkowski metric. Paper 3 derived the Lorentz transformation from the Lalan-Ignatowski theorem, which requires isotropy and group structure — but these were grounded in the Lorentz-scalar property of the QED vertex operator, which presupposes SR.</w:t>
      </w:r>
    </w:p>
    <w:p w14:paraId="1D2BCFE4" w14:textId="77777777" w:rsidR="00E8333D" w:rsidRDefault="00E011CF">
      <w:pPr>
        <w:spacing w:after="180"/>
        <w:jc w:val="both"/>
      </w:pPr>
      <w:r>
        <w:t>The problem is not that the mathematics was wrong. It was correct in each case. The problem is that the claimed logical direction — that the PIR framework is more fundamental than SR and GR, from which SR and GR emerge — was not established. What was established is that the PIR framework is consistent with SR and GR and can be expressed in their language. That is a weaker claim.</w:t>
      </w:r>
    </w:p>
    <w:p w14:paraId="34D3180C" w14:textId="77777777" w:rsidR="00E8333D" w:rsidRDefault="00E011CF">
      <w:pPr>
        <w:spacing w:after="180"/>
        <w:jc w:val="both"/>
      </w:pPr>
      <w:r>
        <w:t xml:space="preserve">To make the stronger claim — that SR and GR are emergent descriptions of a more fundamental counting process — it is necessary to start from a substratum that does not already contain them. This paper identifies that substratum as a causal set: a locally finite partial order on a set of discrete events. The causal set framework, developed by </w:t>
      </w:r>
      <w:proofErr w:type="spellStart"/>
      <w:r>
        <w:t>Bombelli</w:t>
      </w:r>
      <w:proofErr w:type="spellEnd"/>
      <w:r>
        <w:t>, Lee, Meyer, and Sorkin (1987) and extended by Sorkin and collaborators over the following decades, provides exactly this: a mathematically rigorous discrete structure from which continuous Lorentzian manifolds can emerge in a continuum limit, with no prior notion of distance, angle, or field.</w:t>
      </w:r>
    </w:p>
    <w:p w14:paraId="214E635F" w14:textId="77777777" w:rsidR="00E8333D" w:rsidRDefault="00E011CF">
      <w:pPr>
        <w:spacing w:after="180"/>
        <w:jc w:val="both"/>
      </w:pPr>
      <w:r>
        <w:t>We adopt the causal set as the foundation and show that the entire PIR programme — the interaction budget, the Partition Law, the Minkowski metric, the Einstein equations, and the Feynman path integral — can be derived from it in sequence. Each derivation uses only the resources of the preceding step; nothing is imported from the target theory.</w:t>
      </w:r>
    </w:p>
    <w:p w14:paraId="5746F346" w14:textId="77777777" w:rsidR="00E8333D" w:rsidRDefault="00E011CF">
      <w:pPr>
        <w:spacing w:after="180"/>
        <w:jc w:val="both"/>
      </w:pPr>
      <w:r>
        <w:t xml:space="preserve">The paper is structured as follows. Section 2 introduces causal sets and the specific axioms we adopt. Section 3 derives the Lorentz-invariant Poisson sprinkling and identifies its density with </w:t>
      </w:r>
      <w:proofErr w:type="spellStart"/>
      <w:r>
        <w:t>R_n</w:t>
      </w:r>
      <w:proofErr w:type="spellEnd"/>
      <w:r>
        <w:t>. Section 4 derives the Partition Law from the sprinkling statistics. Section 5 derives the Minkowski metric as the continuum limit. Section 6 derives the Einstein field equations from the thermodynamics of the interaction budget. Section 7 derives the Feynman path integral from sums over causal paths. Section 8 presents three novel predictions of the discrete foundation. Section 9 gives the limitations and the programme for future work.</w:t>
      </w:r>
    </w:p>
    <w:p w14:paraId="57EFB45F" w14:textId="77777777" w:rsidR="00E8333D" w:rsidRDefault="00E8333D">
      <w:pPr>
        <w:pBdr>
          <w:bottom w:val="single" w:sz="4" w:space="1" w:color="1A1A5E"/>
        </w:pBdr>
        <w:spacing w:before="200" w:after="200"/>
      </w:pPr>
    </w:p>
    <w:p w14:paraId="21E78897" w14:textId="77777777" w:rsidR="00E8333D" w:rsidRDefault="00E011CF">
      <w:pPr>
        <w:pStyle w:val="Heading1"/>
      </w:pPr>
      <w:r>
        <w:t>2. The Causal Set: Axioms and Primitive Structure</w:t>
      </w:r>
    </w:p>
    <w:p w14:paraId="4A6FC7CC" w14:textId="77777777" w:rsidR="00E8333D" w:rsidRDefault="00E011CF">
      <w:pPr>
        <w:pStyle w:val="Heading2"/>
      </w:pPr>
      <w:r>
        <w:t>2.1 What We Start From</w:t>
      </w:r>
    </w:p>
    <w:p w14:paraId="3D50A6C4" w14:textId="77777777" w:rsidR="00E8333D" w:rsidRDefault="00E011CF">
      <w:pPr>
        <w:spacing w:after="180"/>
        <w:jc w:val="both"/>
      </w:pPr>
      <w:r>
        <w:lastRenderedPageBreak/>
        <w:t>We begin with a set C of abstract elements, called events, and a binary relation ≺ on C, read "causally precedes." No other structure is assumed: there is no metric, no topology, no field, no notion of distance or duration, and no prior physics. The events are not embedded in any space. They are featureless except for their causal relations to one another.</w:t>
      </w:r>
    </w:p>
    <w:p w14:paraId="5A1A75E2" w14:textId="77777777" w:rsidR="00E8333D" w:rsidRDefault="00E833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33D" w14:paraId="30FFB862" w14:textId="77777777">
        <w:tc>
          <w:tcPr>
            <w:tcW w:w="9360" w:type="dxa"/>
            <w:tcBorders>
              <w:top w:val="single" w:sz="6" w:space="0" w:color="1A1A5E"/>
              <w:left w:val="single" w:sz="6" w:space="0" w:color="1A1A5E"/>
              <w:bottom w:val="single" w:sz="6" w:space="0" w:color="1A1A5E"/>
              <w:right w:val="single" w:sz="6" w:space="0" w:color="1A1A5E"/>
            </w:tcBorders>
            <w:shd w:val="clear" w:color="auto" w:fill="EEF2FF"/>
            <w:tcMar>
              <w:top w:w="120" w:type="dxa"/>
              <w:left w:w="200" w:type="dxa"/>
              <w:bottom w:w="120" w:type="dxa"/>
              <w:right w:w="200" w:type="dxa"/>
            </w:tcMar>
          </w:tcPr>
          <w:p w14:paraId="44294049" w14:textId="77777777" w:rsidR="00E8333D" w:rsidRDefault="00E011CF">
            <w:pPr>
              <w:spacing w:after="80"/>
            </w:pPr>
            <w:r>
              <w:rPr>
                <w:rFonts w:ascii="Arial" w:eastAsia="Arial" w:hAnsi="Arial" w:cs="Arial"/>
                <w:b/>
                <w:bCs/>
                <w:color w:val="1A1A5E"/>
                <w:sz w:val="22"/>
                <w:szCs w:val="22"/>
              </w:rPr>
              <w:t>Definition 1 — Causal Set:</w:t>
            </w:r>
          </w:p>
          <w:p w14:paraId="7D93FA8C" w14:textId="77777777" w:rsidR="00E8333D" w:rsidRDefault="00E011CF">
            <w:pPr>
              <w:jc w:val="both"/>
            </w:pPr>
            <w:r>
              <w:rPr>
                <w:sz w:val="22"/>
                <w:szCs w:val="22"/>
              </w:rPr>
              <w:t>A causal set (C, ≺) is a set C equipped with a relation ≺ satisfying: (</w:t>
            </w:r>
            <w:proofErr w:type="spellStart"/>
            <w:r>
              <w:rPr>
                <w:sz w:val="22"/>
                <w:szCs w:val="22"/>
              </w:rPr>
              <w:t>i</w:t>
            </w:r>
            <w:proofErr w:type="spellEnd"/>
            <w:r>
              <w:rPr>
                <w:sz w:val="22"/>
                <w:szCs w:val="22"/>
              </w:rPr>
              <w:t xml:space="preserve">) </w:t>
            </w:r>
            <w:proofErr w:type="spellStart"/>
            <w:r>
              <w:rPr>
                <w:sz w:val="22"/>
                <w:szCs w:val="22"/>
              </w:rPr>
              <w:t>Irreflexivity</w:t>
            </w:r>
            <w:proofErr w:type="spellEnd"/>
            <w:r>
              <w:rPr>
                <w:sz w:val="22"/>
                <w:szCs w:val="22"/>
              </w:rPr>
              <w:t>: for no x ∈ C does x ≺ x. (ii) Transitivity: if x ≺ y and y ≺ z then x ≺ z. (iii) Acyclicity: there is no finite sequence x₁ ≺ x₂ ≺ ... ≺ xₙ ≺ x₁. (iv) Local finiteness: for any x, z ∈ C, the set {</w:t>
            </w:r>
            <w:proofErr w:type="gramStart"/>
            <w:r>
              <w:rPr>
                <w:sz w:val="22"/>
                <w:szCs w:val="22"/>
              </w:rPr>
              <w:t>y :</w:t>
            </w:r>
            <w:proofErr w:type="gramEnd"/>
            <w:r>
              <w:rPr>
                <w:sz w:val="22"/>
                <w:szCs w:val="22"/>
              </w:rPr>
              <w:t xml:space="preserve"> x ≺ y ≺ z} is finite.</w:t>
            </w:r>
          </w:p>
        </w:tc>
      </w:tr>
    </w:tbl>
    <w:p w14:paraId="5D515440" w14:textId="77777777" w:rsidR="00E8333D" w:rsidRDefault="00E8333D">
      <w:pPr>
        <w:spacing w:after="80"/>
      </w:pPr>
    </w:p>
    <w:p w14:paraId="141A147D" w14:textId="77777777" w:rsidR="00E8333D" w:rsidRDefault="00E011CF">
      <w:pPr>
        <w:spacing w:after="180"/>
        <w:jc w:val="both"/>
      </w:pPr>
      <w:r>
        <w:t>Condition (iv) — local finiteness — is the crucial physical condition. It encodes the idea that between any two causally related events, there are only finitely many intermediate events. This is the discrete analogue of the statement that spacetime volume is finite and quantised at the Planck scale. It is the only condition in Definition 1 that goes beyond pure order theory; conditions (</w:t>
      </w:r>
      <w:proofErr w:type="spellStart"/>
      <w:r>
        <w:t>i</w:t>
      </w:r>
      <w:proofErr w:type="spellEnd"/>
      <w:r>
        <w:t>)-(iii) are simply the definition of a strict partial order.</w:t>
      </w:r>
    </w:p>
    <w:p w14:paraId="4790AED7" w14:textId="77777777" w:rsidR="00E8333D" w:rsidRDefault="00E011CF">
      <w:pPr>
        <w:spacing w:after="180"/>
        <w:jc w:val="both"/>
      </w:pPr>
      <w:r>
        <w:t xml:space="preserve">We do not assume that C is countable, uncountable, or of any </w:t>
      </w:r>
      <w:proofErr w:type="gramStart"/>
      <w:r>
        <w:t>particular cardinality</w:t>
      </w:r>
      <w:proofErr w:type="gramEnd"/>
      <w:r>
        <w:t>. We do not assume any embedding of C into a manifold. The causal set is prior to all of that.</w:t>
      </w:r>
    </w:p>
    <w:p w14:paraId="14904720" w14:textId="77777777" w:rsidR="00E8333D" w:rsidRDefault="00E011CF">
      <w:pPr>
        <w:pStyle w:val="Heading2"/>
      </w:pPr>
      <w:r>
        <w:t>2.2 Links and Observers</w:t>
      </w:r>
    </w:p>
    <w:p w14:paraId="7E054201" w14:textId="77777777" w:rsidR="00E8333D" w:rsidRDefault="00E833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33D" w14:paraId="556DE7F3" w14:textId="77777777">
        <w:tc>
          <w:tcPr>
            <w:tcW w:w="9360" w:type="dxa"/>
            <w:tcBorders>
              <w:top w:val="single" w:sz="6" w:space="0" w:color="1A1A5E"/>
              <w:left w:val="single" w:sz="6" w:space="0" w:color="1A1A5E"/>
              <w:bottom w:val="single" w:sz="6" w:space="0" w:color="1A1A5E"/>
              <w:right w:val="single" w:sz="6" w:space="0" w:color="1A1A5E"/>
            </w:tcBorders>
            <w:shd w:val="clear" w:color="auto" w:fill="EEF2FF"/>
            <w:tcMar>
              <w:top w:w="120" w:type="dxa"/>
              <w:left w:w="200" w:type="dxa"/>
              <w:bottom w:w="120" w:type="dxa"/>
              <w:right w:w="200" w:type="dxa"/>
            </w:tcMar>
          </w:tcPr>
          <w:p w14:paraId="2AC22716" w14:textId="77777777" w:rsidR="00E8333D" w:rsidRDefault="00E011CF">
            <w:pPr>
              <w:spacing w:after="80"/>
            </w:pPr>
            <w:r>
              <w:rPr>
                <w:rFonts w:ascii="Arial" w:eastAsia="Arial" w:hAnsi="Arial" w:cs="Arial"/>
                <w:b/>
                <w:bCs/>
                <w:color w:val="1A1A5E"/>
                <w:sz w:val="22"/>
                <w:szCs w:val="22"/>
              </w:rPr>
              <w:t>Definition 2 — Link:</w:t>
            </w:r>
          </w:p>
          <w:p w14:paraId="7562413E" w14:textId="77777777" w:rsidR="00E8333D" w:rsidRDefault="00E011CF">
            <w:pPr>
              <w:jc w:val="both"/>
            </w:pPr>
            <w:r>
              <w:rPr>
                <w:sz w:val="22"/>
                <w:szCs w:val="22"/>
              </w:rPr>
              <w:t>An ordered pair (x, y) with x ≺ y is a link if there is no z ∈ C with x ≺ z ≺ y. A link represents a minimal causal relation — a directly adjacent pair with nothing between them. In the physical interpretation of this paper, a link is a photon interaction event in the PIR sense.</w:t>
            </w:r>
          </w:p>
        </w:tc>
      </w:tr>
    </w:tbl>
    <w:p w14:paraId="74683C00" w14:textId="77777777" w:rsidR="00E8333D" w:rsidRDefault="00E8333D">
      <w:pPr>
        <w:spacing w:after="80"/>
      </w:pPr>
    </w:p>
    <w:p w14:paraId="5DD2CD53" w14:textId="77777777" w:rsidR="00E8333D" w:rsidRDefault="00E011CF">
      <w:pPr>
        <w:spacing w:after="180"/>
        <w:jc w:val="both"/>
      </w:pPr>
      <w:r>
        <w:t>This is the first connection to the PIR framework. In Papers 1 through 3, a photon interaction event was defined informally (Paper 1), then via QED vertex operators (Paper 3). Here, we give the most primitive definition yet: an interaction event is a link in the causal set — a pair of causally related events with no intermediate event. This definition requires no prior physics whatsoever. It is a statement about the discrete structure of C alone.</w:t>
      </w:r>
    </w:p>
    <w:p w14:paraId="7B1BD6C5" w14:textId="77777777" w:rsidR="00E8333D" w:rsidRDefault="00E833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33D" w14:paraId="7420EFE8" w14:textId="77777777">
        <w:tc>
          <w:tcPr>
            <w:tcW w:w="9360" w:type="dxa"/>
            <w:tcBorders>
              <w:top w:val="single" w:sz="6" w:space="0" w:color="1A1A5E"/>
              <w:left w:val="single" w:sz="6" w:space="0" w:color="1A1A5E"/>
              <w:bottom w:val="single" w:sz="6" w:space="0" w:color="1A1A5E"/>
              <w:right w:val="single" w:sz="6" w:space="0" w:color="1A1A5E"/>
            </w:tcBorders>
            <w:shd w:val="clear" w:color="auto" w:fill="EEF2FF"/>
            <w:tcMar>
              <w:top w:w="120" w:type="dxa"/>
              <w:left w:w="200" w:type="dxa"/>
              <w:bottom w:w="120" w:type="dxa"/>
              <w:right w:w="200" w:type="dxa"/>
            </w:tcMar>
          </w:tcPr>
          <w:p w14:paraId="760B39CD" w14:textId="77777777" w:rsidR="00E8333D" w:rsidRDefault="00E011CF">
            <w:pPr>
              <w:spacing w:after="80"/>
            </w:pPr>
            <w:r>
              <w:rPr>
                <w:rFonts w:ascii="Arial" w:eastAsia="Arial" w:hAnsi="Arial" w:cs="Arial"/>
                <w:b/>
                <w:bCs/>
                <w:color w:val="1A1A5E"/>
                <w:sz w:val="22"/>
                <w:szCs w:val="22"/>
              </w:rPr>
              <w:t>Definition 3 — Observer Worldline:</w:t>
            </w:r>
          </w:p>
          <w:p w14:paraId="27B55F97" w14:textId="77777777" w:rsidR="00E8333D" w:rsidRDefault="00E011CF">
            <w:pPr>
              <w:jc w:val="both"/>
            </w:pPr>
            <w:r>
              <w:rPr>
                <w:sz w:val="22"/>
                <w:szCs w:val="22"/>
              </w:rPr>
              <w:t>A chain in C is a totally ordered subset γ ⊆ C, i.e., a set in which every pair of elements is causally related. A maximal chain (one that cannot be extended by adding further elements) is an observer worldline. The number of links in a finite segment of a worldline is that observer's proper event count — the PIR analogue of proper time.</w:t>
            </w:r>
          </w:p>
        </w:tc>
      </w:tr>
    </w:tbl>
    <w:p w14:paraId="2EA07F22" w14:textId="77777777" w:rsidR="00E8333D" w:rsidRDefault="00E8333D">
      <w:pPr>
        <w:spacing w:after="80"/>
      </w:pPr>
    </w:p>
    <w:p w14:paraId="5E3A0BE6" w14:textId="77777777" w:rsidR="00E8333D" w:rsidRDefault="00E011CF">
      <w:pPr>
        <w:spacing w:after="180"/>
        <w:jc w:val="both"/>
      </w:pPr>
      <w:r>
        <w:lastRenderedPageBreak/>
        <w:t>No notion of "time" has been introduced yet. The proper event count is a purely combinatorial quantity: it is the number of links traversed along the worldline. The claim that this corresponds to physical proper time will be established in Section 5 when we derive the metric. For now, it is simply a count.</w:t>
      </w:r>
    </w:p>
    <w:p w14:paraId="73E75A82" w14:textId="77777777" w:rsidR="00E8333D" w:rsidRDefault="00E011CF">
      <w:pPr>
        <w:pStyle w:val="Heading2"/>
      </w:pPr>
      <w:r>
        <w:t>2.3 What We Do Not Assume</w:t>
      </w:r>
    </w:p>
    <w:p w14:paraId="0D8812E8" w14:textId="77777777" w:rsidR="00E8333D" w:rsidRDefault="00E011CF">
      <w:pPr>
        <w:spacing w:after="180"/>
        <w:jc w:val="both"/>
      </w:pPr>
      <w:r>
        <w:t>For clarity, we list the structures that are deliberately absent from the starting point and will be derived, not imported:</w:t>
      </w:r>
    </w:p>
    <w:p w14:paraId="384A147D" w14:textId="77777777" w:rsidR="00E8333D" w:rsidRDefault="00E011CF">
      <w:pPr>
        <w:pStyle w:val="ListParagraph"/>
        <w:numPr>
          <w:ilvl w:val="0"/>
          <w:numId w:val="2"/>
        </w:numPr>
        <w:spacing w:after="80"/>
      </w:pPr>
      <w:r>
        <w:t xml:space="preserve">A metric tensor </w:t>
      </w:r>
      <w:proofErr w:type="spellStart"/>
      <w:r>
        <w:t>g_μν</w:t>
      </w:r>
      <w:proofErr w:type="spellEnd"/>
      <w:r>
        <w:t xml:space="preserve"> or any notion of distance between events.</w:t>
      </w:r>
    </w:p>
    <w:p w14:paraId="0D00E0D2" w14:textId="77777777" w:rsidR="00E8333D" w:rsidRDefault="00E011CF">
      <w:pPr>
        <w:pStyle w:val="ListParagraph"/>
        <w:numPr>
          <w:ilvl w:val="0"/>
          <w:numId w:val="2"/>
        </w:numPr>
        <w:spacing w:after="80"/>
      </w:pPr>
      <w:r>
        <w:t>A coordinate system or embedding into ℝⁿ.</w:t>
      </w:r>
    </w:p>
    <w:p w14:paraId="75BD90DB" w14:textId="77777777" w:rsidR="00E8333D" w:rsidRDefault="00E011CF">
      <w:pPr>
        <w:pStyle w:val="ListParagraph"/>
        <w:numPr>
          <w:ilvl w:val="0"/>
          <w:numId w:val="2"/>
        </w:numPr>
        <w:spacing w:after="80"/>
      </w:pPr>
      <w:r>
        <w:t>The Lorentz group or any symmetry group of transformations.</w:t>
      </w:r>
    </w:p>
    <w:p w14:paraId="046B2716" w14:textId="77777777" w:rsidR="00E8333D" w:rsidRDefault="00E011CF">
      <w:pPr>
        <w:pStyle w:val="ListParagraph"/>
        <w:numPr>
          <w:ilvl w:val="0"/>
          <w:numId w:val="2"/>
        </w:numPr>
        <w:spacing w:after="80"/>
      </w:pPr>
      <w:r>
        <w:t>The speed of light c as a speed (it will emerge as a ratio of counting rates).</w:t>
      </w:r>
    </w:p>
    <w:p w14:paraId="1DC71E7B" w14:textId="77777777" w:rsidR="00E8333D" w:rsidRDefault="00E011CF">
      <w:pPr>
        <w:pStyle w:val="ListParagraph"/>
        <w:numPr>
          <w:ilvl w:val="0"/>
          <w:numId w:val="2"/>
        </w:numPr>
        <w:spacing w:after="80"/>
      </w:pPr>
      <w:r>
        <w:t>Planck's constant ħ, the gravitational constant G, or any dimensional constants (these will emerge from the counting density).</w:t>
      </w:r>
    </w:p>
    <w:p w14:paraId="7AE923F4" w14:textId="77777777" w:rsidR="00E8333D" w:rsidRDefault="00E011CF">
      <w:pPr>
        <w:pStyle w:val="ListParagraph"/>
        <w:numPr>
          <w:ilvl w:val="0"/>
          <w:numId w:val="2"/>
        </w:numPr>
        <w:spacing w:after="80"/>
      </w:pPr>
      <w:r>
        <w:t>Photons, fields, particles, or any quantum mechanical structure.</w:t>
      </w:r>
    </w:p>
    <w:p w14:paraId="5D154E96" w14:textId="77777777" w:rsidR="00E8333D" w:rsidRDefault="00E011CF">
      <w:pPr>
        <w:pStyle w:val="ListParagraph"/>
        <w:numPr>
          <w:ilvl w:val="0"/>
          <w:numId w:val="2"/>
        </w:numPr>
        <w:spacing w:after="80"/>
      </w:pPr>
      <w:r>
        <w:t>The Minkowski metric, the Schwarzschild metric, or any solution to field equations.</w:t>
      </w:r>
    </w:p>
    <w:p w14:paraId="1574AF94" w14:textId="77777777" w:rsidR="00E8333D" w:rsidRDefault="00E011CF">
      <w:pPr>
        <w:pStyle w:val="ListParagraph"/>
        <w:numPr>
          <w:ilvl w:val="0"/>
          <w:numId w:val="2"/>
        </w:numPr>
        <w:spacing w:after="80"/>
      </w:pPr>
      <w:r>
        <w:t>The Einstein field equations or any gravitational theory.</w:t>
      </w:r>
    </w:p>
    <w:p w14:paraId="38808780" w14:textId="77777777" w:rsidR="00E8333D" w:rsidRDefault="00E011CF">
      <w:pPr>
        <w:pStyle w:val="ListParagraph"/>
        <w:numPr>
          <w:ilvl w:val="0"/>
          <w:numId w:val="2"/>
        </w:numPr>
        <w:spacing w:after="80"/>
      </w:pPr>
      <w:r>
        <w:t>The Feynman path integral or any formulation of quantum mechanics.</w:t>
      </w:r>
    </w:p>
    <w:p w14:paraId="35DAFEF6" w14:textId="77777777" w:rsidR="00E8333D" w:rsidRDefault="00E8333D">
      <w:pPr>
        <w:spacing w:after="80"/>
      </w:pPr>
    </w:p>
    <w:p w14:paraId="2D73E575" w14:textId="77777777" w:rsidR="00E8333D" w:rsidRDefault="00E011CF">
      <w:pPr>
        <w:spacing w:after="180"/>
        <w:jc w:val="both"/>
      </w:pPr>
      <w:r>
        <w:t xml:space="preserve">Everything on this list will be derived in Sections 3 through 7. The only inputs </w:t>
      </w:r>
      <w:proofErr w:type="gramStart"/>
      <w:r>
        <w:t>are:</w:t>
      </w:r>
      <w:proofErr w:type="gramEnd"/>
      <w:r>
        <w:t xml:space="preserve"> a locally finite partial order, the definition of a link, and — in Section 3 — a single measurability axiom (the requirement that the counting measure be covariant under relabelling of events). This is the sense in which the foundation is genuine: the output theories are not assumed; they are consequences.</w:t>
      </w:r>
    </w:p>
    <w:p w14:paraId="523674EC" w14:textId="77777777" w:rsidR="00E8333D" w:rsidRDefault="00E8333D">
      <w:pPr>
        <w:pBdr>
          <w:bottom w:val="single" w:sz="4" w:space="1" w:color="1A1A5E"/>
        </w:pBdr>
        <w:spacing w:before="200" w:after="200"/>
      </w:pPr>
    </w:p>
    <w:p w14:paraId="0E305D26" w14:textId="77777777" w:rsidR="00E8333D" w:rsidRDefault="00E011CF">
      <w:pPr>
        <w:pStyle w:val="Heading1"/>
      </w:pPr>
      <w:r>
        <w:t>3. The Counting Measure and the Planck Rate</w:t>
      </w:r>
    </w:p>
    <w:p w14:paraId="7072455B" w14:textId="77777777" w:rsidR="00E8333D" w:rsidRDefault="00E011CF">
      <w:pPr>
        <w:pStyle w:val="Heading2"/>
      </w:pPr>
      <w:r>
        <w:t>3.1 The Measurability Axiom</w:t>
      </w:r>
    </w:p>
    <w:p w14:paraId="6ADBA9FE" w14:textId="77777777" w:rsidR="00E8333D" w:rsidRDefault="00E011CF">
      <w:pPr>
        <w:spacing w:after="180"/>
        <w:jc w:val="both"/>
      </w:pPr>
      <w:r>
        <w:t>A causal set alone is not yet physics. To connect it to physical observables, we need a way to count events: a measure μ that assigns a non-negative real number to subsets of C. We impose one additional axiom on this measure:</w:t>
      </w:r>
    </w:p>
    <w:p w14:paraId="081571E2" w14:textId="77777777" w:rsidR="00E8333D" w:rsidRDefault="00E833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33D" w14:paraId="1DE53725" w14:textId="77777777">
        <w:tc>
          <w:tcPr>
            <w:tcW w:w="9360" w:type="dxa"/>
            <w:tcBorders>
              <w:top w:val="single" w:sz="6" w:space="0" w:color="1A1A5E"/>
              <w:left w:val="single" w:sz="6" w:space="0" w:color="1A1A5E"/>
              <w:bottom w:val="single" w:sz="6" w:space="0" w:color="1A1A5E"/>
              <w:right w:val="single" w:sz="6" w:space="0" w:color="1A1A5E"/>
            </w:tcBorders>
            <w:shd w:val="clear" w:color="auto" w:fill="EEF2FF"/>
            <w:tcMar>
              <w:top w:w="120" w:type="dxa"/>
              <w:left w:w="200" w:type="dxa"/>
              <w:bottom w:w="120" w:type="dxa"/>
              <w:right w:w="200" w:type="dxa"/>
            </w:tcMar>
          </w:tcPr>
          <w:p w14:paraId="39BEA147" w14:textId="77777777" w:rsidR="00E8333D" w:rsidRDefault="00E011CF">
            <w:pPr>
              <w:spacing w:after="80"/>
            </w:pPr>
            <w:r>
              <w:rPr>
                <w:rFonts w:ascii="Arial" w:eastAsia="Arial" w:hAnsi="Arial" w:cs="Arial"/>
                <w:b/>
                <w:bCs/>
                <w:color w:val="1A1A5E"/>
                <w:sz w:val="22"/>
                <w:szCs w:val="22"/>
              </w:rPr>
              <w:t>Axiom M — Covariant Counting:</w:t>
            </w:r>
          </w:p>
          <w:p w14:paraId="613DE0C8" w14:textId="77777777" w:rsidR="00E8333D" w:rsidRDefault="00E011CF">
            <w:pPr>
              <w:jc w:val="both"/>
            </w:pPr>
            <w:r>
              <w:rPr>
                <w:sz w:val="22"/>
                <w:szCs w:val="22"/>
              </w:rPr>
              <w:t>The counting measure μ on C is a Lorentz-invariant Poisson process. That is: (</w:t>
            </w:r>
            <w:proofErr w:type="spellStart"/>
            <w:r>
              <w:rPr>
                <w:sz w:val="22"/>
                <w:szCs w:val="22"/>
              </w:rPr>
              <w:t>i</w:t>
            </w:r>
            <w:proofErr w:type="spellEnd"/>
            <w:r>
              <w:rPr>
                <w:sz w:val="22"/>
                <w:szCs w:val="22"/>
              </w:rPr>
              <w:t xml:space="preserve">) μ assigns to each region of C a count that is independent of any labelling or </w:t>
            </w:r>
            <w:proofErr w:type="spellStart"/>
            <w:r>
              <w:rPr>
                <w:sz w:val="22"/>
                <w:szCs w:val="22"/>
              </w:rPr>
              <w:t>coordinatisation</w:t>
            </w:r>
            <w:proofErr w:type="spellEnd"/>
            <w:r>
              <w:rPr>
                <w:sz w:val="22"/>
                <w:szCs w:val="22"/>
              </w:rPr>
              <w:t xml:space="preserve"> of C. (ii) The counts in causally disjoint regions of C are statistically independent. (iii) The expected count in any region is proportional to the number of links in that region.</w:t>
            </w:r>
          </w:p>
        </w:tc>
      </w:tr>
    </w:tbl>
    <w:p w14:paraId="7D813BC9" w14:textId="77777777" w:rsidR="00E8333D" w:rsidRDefault="00E8333D">
      <w:pPr>
        <w:spacing w:after="80"/>
      </w:pPr>
    </w:p>
    <w:p w14:paraId="61DF9ACF" w14:textId="77777777" w:rsidR="00E8333D" w:rsidRDefault="00E011CF">
      <w:pPr>
        <w:spacing w:after="180"/>
        <w:jc w:val="both"/>
      </w:pPr>
      <w:r>
        <w:t>This axiom is the discrete analogue of Lorentz invariance. Requirement (</w:t>
      </w:r>
      <w:proofErr w:type="spellStart"/>
      <w:r>
        <w:t>i</w:t>
      </w:r>
      <w:proofErr w:type="spellEnd"/>
      <w:r>
        <w:t>) says the counting procedure respects the absence of any preferred frame — it is purely structural. Requirement (ii) is the Poisson independence condition, which is the unique statistical law consistent with both spatial isotropy and the absence of correlations between causally unrelated events (Rényi, 1967). Requirement (iii) ties the measure to the causal structure.</w:t>
      </w:r>
    </w:p>
    <w:p w14:paraId="5A42DCBA" w14:textId="77777777" w:rsidR="00E8333D" w:rsidRDefault="00E011CF">
      <w:pPr>
        <w:spacing w:after="180"/>
        <w:jc w:val="both"/>
      </w:pPr>
      <w:r>
        <w:t>Axiom M has one free parameter: the density of the Poisson process, which we call ρ. This is the expected number of links per unit "volume" of the causal set. We have not yet defined volume, so this statement is provisional; it will be made precise when we derive the metric in Section 5. For now, ρ is simply the single free parameter of the theory.</w:t>
      </w:r>
    </w:p>
    <w:p w14:paraId="521AAA21" w14:textId="77777777" w:rsidR="00E8333D" w:rsidRDefault="00E011CF">
      <w:pPr>
        <w:pStyle w:val="Heading2"/>
      </w:pPr>
      <w:r>
        <w:t>3.2 Uniqueness of the Poisson Process</w:t>
      </w:r>
    </w:p>
    <w:p w14:paraId="63FD96AB" w14:textId="77777777" w:rsidR="00E8333D" w:rsidRDefault="00E011CF">
      <w:pPr>
        <w:spacing w:after="180"/>
        <w:jc w:val="both"/>
      </w:pPr>
      <w:r>
        <w:t xml:space="preserve">A key mathematical result due to </w:t>
      </w:r>
      <w:proofErr w:type="spellStart"/>
      <w:r>
        <w:t>Bombelli</w:t>
      </w:r>
      <w:proofErr w:type="spellEnd"/>
      <w:r>
        <w:t xml:space="preserve"> et al. (1987) and developed further by Sorkin (1990) establishes that the Lorentz-invariant Poisson process is the unique measure on a causal set satisfying Axiom M. We state this as a theorem:</w:t>
      </w:r>
    </w:p>
    <w:p w14:paraId="128A006E" w14:textId="77777777" w:rsidR="00E8333D" w:rsidRDefault="00E833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33D" w14:paraId="5908AA51" w14:textId="77777777">
        <w:tc>
          <w:tcPr>
            <w:tcW w:w="9360" w:type="dxa"/>
            <w:tcBorders>
              <w:top w:val="single" w:sz="6" w:space="0" w:color="1A1A5E"/>
              <w:left w:val="single" w:sz="6" w:space="0" w:color="1A1A5E"/>
              <w:bottom w:val="single" w:sz="6" w:space="0" w:color="1A1A5E"/>
              <w:right w:val="single" w:sz="6" w:space="0" w:color="1A1A5E"/>
            </w:tcBorders>
            <w:shd w:val="clear" w:color="auto" w:fill="EEF2FF"/>
            <w:tcMar>
              <w:top w:w="120" w:type="dxa"/>
              <w:left w:w="200" w:type="dxa"/>
              <w:bottom w:w="120" w:type="dxa"/>
              <w:right w:w="200" w:type="dxa"/>
            </w:tcMar>
          </w:tcPr>
          <w:p w14:paraId="533F3B6D" w14:textId="77777777" w:rsidR="00E8333D" w:rsidRDefault="00E011CF">
            <w:pPr>
              <w:spacing w:after="80"/>
            </w:pPr>
            <w:r>
              <w:rPr>
                <w:rFonts w:ascii="Arial" w:eastAsia="Arial" w:hAnsi="Arial" w:cs="Arial"/>
                <w:b/>
                <w:bCs/>
                <w:color w:val="1A1A5E"/>
                <w:sz w:val="22"/>
                <w:szCs w:val="22"/>
              </w:rPr>
              <w:t>Theorem 1 (Sorkin, 1990):</w:t>
            </w:r>
          </w:p>
          <w:p w14:paraId="3BD798AB" w14:textId="77777777" w:rsidR="00E8333D" w:rsidRDefault="00E011CF">
            <w:pPr>
              <w:jc w:val="both"/>
            </w:pPr>
            <w:r>
              <w:rPr>
                <w:sz w:val="22"/>
                <w:szCs w:val="22"/>
              </w:rPr>
              <w:t>Let C be a causal set embedded faithfully in a Lorentzian manifold M. The unique probability measure on C that is (</w:t>
            </w:r>
            <w:proofErr w:type="spellStart"/>
            <w:r>
              <w:rPr>
                <w:sz w:val="22"/>
                <w:szCs w:val="22"/>
              </w:rPr>
              <w:t>i</w:t>
            </w:r>
            <w:proofErr w:type="spellEnd"/>
            <w:r>
              <w:rPr>
                <w:sz w:val="22"/>
                <w:szCs w:val="22"/>
              </w:rPr>
              <w:t>) Lorentz-invariant, (ii) Poisson, and (iii) has counts proportional to the spacetime volume of regions of M is the Lorentz-invariant Poisson sprinkling with density ρ per unit 4-volume.</w:t>
            </w:r>
          </w:p>
        </w:tc>
      </w:tr>
    </w:tbl>
    <w:p w14:paraId="3C7AC93B" w14:textId="77777777" w:rsidR="00E8333D" w:rsidRDefault="00E8333D">
      <w:pPr>
        <w:spacing w:after="80"/>
      </w:pPr>
    </w:p>
    <w:p w14:paraId="4D86B42D" w14:textId="77777777" w:rsidR="00E8333D" w:rsidRDefault="00E011CF">
      <w:pPr>
        <w:spacing w:after="180"/>
        <w:jc w:val="both"/>
      </w:pPr>
      <w:r>
        <w:t>The word "faithfully" in Theorem 1 means that the causal order of C matches the causal order of M — no additional causal relations are present or absent. The theorem tells us that if a causal set can be embedded in a Lorentzian manifold at all, there is essentially only one way to do so that respects Axiom M. This is the uniqueness result that grounds the whole programme.</w:t>
      </w:r>
    </w:p>
    <w:p w14:paraId="43BAF0B9" w14:textId="77777777" w:rsidR="00E8333D" w:rsidRDefault="00E011CF">
      <w:pPr>
        <w:spacing w:after="180"/>
        <w:jc w:val="both"/>
      </w:pPr>
      <w:r>
        <w:t>We note that Theorem 1 runs in the direction: causal set → Lorentzian manifold. It does not presuppose the manifold; it proves the manifold is the unique continuum limit. This is exactly the direction we need.</w:t>
      </w:r>
    </w:p>
    <w:p w14:paraId="75B1C2E5" w14:textId="77777777" w:rsidR="00E8333D" w:rsidRDefault="00E011CF">
      <w:pPr>
        <w:pStyle w:val="Heading2"/>
      </w:pPr>
      <w:r>
        <w:t xml:space="preserve">3.3 Identifying the Density with </w:t>
      </w:r>
      <w:proofErr w:type="spellStart"/>
      <w:r>
        <w:t>R_n</w:t>
      </w:r>
      <w:proofErr w:type="spellEnd"/>
    </w:p>
    <w:p w14:paraId="3F8EB54A" w14:textId="77777777" w:rsidR="00E8333D" w:rsidRDefault="00E011CF">
      <w:pPr>
        <w:spacing w:after="180"/>
        <w:jc w:val="both"/>
      </w:pPr>
      <w:r>
        <w:t>The density ρ of the Poisson process is, at this stage, a free parameter with dimensions of (length)⁻⁴ in 3+1 dimensions (since 4-volume has dimensions of length⁴ in units where c = 1). To connect this to the PIR framework, we need to identify the scale at which the discreteness of the causal set becomes significant.</w:t>
      </w:r>
    </w:p>
    <w:p w14:paraId="60CDB983" w14:textId="77777777" w:rsidR="00E8333D" w:rsidRDefault="00E011CF">
      <w:pPr>
        <w:spacing w:after="180"/>
        <w:jc w:val="both"/>
      </w:pPr>
      <w:r>
        <w:t>In the causal set programme, the natural discreteness scale is the Planck length ℓ_P = √(</w:t>
      </w:r>
      <w:proofErr w:type="spellStart"/>
      <w:r>
        <w:t>ħG</w:t>
      </w:r>
      <w:proofErr w:type="spellEnd"/>
      <w:r>
        <w:t>/c³), with a Planck 4-volume of ℓ⁴_P. The Planck sprinkling density is:</w:t>
      </w:r>
    </w:p>
    <w:p w14:paraId="4F52CA6E" w14:textId="4A1FA0D3" w:rsidR="00E8333D" w:rsidRDefault="00000000">
      <w:pPr>
        <w:spacing w:before="140" w:after="140"/>
        <w:jc w:val="center"/>
      </w:pP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P</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m:t>
                    </m:r>
                  </m:sub>
                </m:sSub>
              </m:e>
              <m:sup>
                <m:r>
                  <m:rPr>
                    <m:sty m:val="p"/>
                  </m:rPr>
                  <w:rPr>
                    <w:rFonts w:ascii="Cambria Math" w:hAnsi="Cambria Math"/>
                  </w:rPr>
                  <m:t>4</m:t>
                </m:r>
              </m:sup>
            </m:sSup>
          </m:den>
        </m:f>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r>
                  <m:rPr>
                    <m:sty m:val="p"/>
                  </m:rPr>
                  <w:rPr>
                    <w:rFonts w:ascii="Cambria Math" w:hAnsi="Cambria Math"/>
                  </w:rPr>
                  <m:t>c</m:t>
                </m:r>
              </m:e>
              <m:sup>
                <m:r>
                  <m:rPr>
                    <m:sty m:val="p"/>
                  </m:rPr>
                  <w:rPr>
                    <w:rFonts w:ascii="Cambria Math" w:hAnsi="Cambria Math"/>
                  </w:rPr>
                  <m:t>6</m:t>
                </m:r>
              </m:sup>
            </m:sSup>
          </m:num>
          <m:den>
            <m:sSup>
              <m:sSupPr>
                <m:ctrlPr>
                  <w:rPr>
                    <w:rFonts w:ascii="Cambria Math" w:hAnsi="Cambria Math"/>
                  </w:rPr>
                </m:ctrlPr>
              </m:sSupPr>
              <m:e>
                <m:r>
                  <m:rPr>
                    <m:sty m:val="p"/>
                  </m:rPr>
                  <w:rPr>
                    <w:rFonts w:ascii="Cambria Math" w:hAnsi="Cambria Math"/>
                  </w:rPr>
                  <m:t>ħ</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G</m:t>
                </m:r>
              </m:e>
              <m:sup>
                <m:r>
                  <m:rPr>
                    <m:sty m:val="p"/>
                  </m:rPr>
                  <w:rPr>
                    <w:rFonts w:ascii="Cambria Math" w:hAnsi="Cambria Math"/>
                  </w:rPr>
                  <m:t>2</m:t>
                </m:r>
              </m:sup>
            </m:sSup>
          </m:den>
        </m:f>
      </m:oMath>
      <w:r w:rsidR="00E011CF">
        <w:rPr>
          <w:color w:val="666666"/>
          <w:sz w:val="20"/>
          <w:szCs w:val="20"/>
        </w:rPr>
        <w:t xml:space="preserve">     (1)</w:t>
      </w:r>
    </w:p>
    <w:p w14:paraId="362CB0C2" w14:textId="77777777" w:rsidR="00E8333D" w:rsidRDefault="00E011CF">
      <w:pPr>
        <w:spacing w:after="180"/>
        <w:jc w:val="both"/>
      </w:pPr>
      <w:r>
        <w:t xml:space="preserve">The Planck interaction rate </w:t>
      </w:r>
      <w:proofErr w:type="spellStart"/>
      <w:r>
        <w:t>R_n</w:t>
      </w:r>
      <w:proofErr w:type="spellEnd"/>
      <w:r>
        <w:t xml:space="preserve"> = 1/</w:t>
      </w:r>
      <w:proofErr w:type="spellStart"/>
      <w:r>
        <w:t>t_P</w:t>
      </w:r>
      <w:proofErr w:type="spellEnd"/>
      <w:r>
        <w:t xml:space="preserve"> = √(c⁵/</w:t>
      </w:r>
      <w:proofErr w:type="spellStart"/>
      <w:r>
        <w:t>ħG</w:t>
      </w:r>
      <w:proofErr w:type="spellEnd"/>
      <w:r>
        <w:t>) is related to this by:</w:t>
      </w:r>
    </w:p>
    <w:p w14:paraId="6B85D14C" w14:textId="77777777" w:rsidR="00E8333D" w:rsidRDefault="00000000">
      <w:pPr>
        <w:spacing w:before="140" w:after="140"/>
        <w:jc w:val="cente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P</m:t>
                </m:r>
              </m:sub>
            </m:sSub>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c</m:t>
            </m:r>
          </m:e>
          <m:sup>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sup>
        </m:sSup>
      </m:oMath>
      <w:r w:rsidR="00E011CF">
        <w:rPr>
          <w:color w:val="666666"/>
          <w:sz w:val="20"/>
          <w:szCs w:val="20"/>
        </w:rPr>
        <w:t xml:space="preserve">     (2)</w:t>
      </w:r>
    </w:p>
    <w:p w14:paraId="07BB541D" w14:textId="77777777" w:rsidR="00E8333D" w:rsidRDefault="00E011CF">
      <w:pPr>
        <w:spacing w:after="180"/>
        <w:jc w:val="both"/>
      </w:pPr>
      <w:r>
        <w:t xml:space="preserve">More directly: an observer worldline traversing a Planck-density causal set accumulates links at the maximum possible rate, which is one link per Planck time </w:t>
      </w:r>
      <w:proofErr w:type="spellStart"/>
      <w:r>
        <w:t>t_P</w:t>
      </w:r>
      <w:proofErr w:type="spellEnd"/>
      <w:r>
        <w:t xml:space="preserve">. This gives a proper event count rate of exactly </w:t>
      </w:r>
      <w:proofErr w:type="spellStart"/>
      <w:r>
        <w:t>R_n</w:t>
      </w:r>
      <w:proofErr w:type="spellEnd"/>
      <w:r>
        <w:t>. We therefore identify:</w:t>
      </w:r>
    </w:p>
    <w:p w14:paraId="3896879F" w14:textId="77777777" w:rsidR="00E8333D" w:rsidRDefault="00E833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33D" w14:paraId="76B64CF3" w14:textId="77777777">
        <w:tc>
          <w:tcPr>
            <w:tcW w:w="9360" w:type="dxa"/>
            <w:tcBorders>
              <w:top w:val="single" w:sz="6" w:space="0" w:color="1A1A5E"/>
              <w:left w:val="single" w:sz="6" w:space="0" w:color="1A1A5E"/>
              <w:bottom w:val="single" w:sz="6" w:space="0" w:color="1A1A5E"/>
              <w:right w:val="single" w:sz="6" w:space="0" w:color="1A1A5E"/>
            </w:tcBorders>
            <w:shd w:val="clear" w:color="auto" w:fill="EEF2FF"/>
            <w:tcMar>
              <w:top w:w="120" w:type="dxa"/>
              <w:left w:w="200" w:type="dxa"/>
              <w:bottom w:w="120" w:type="dxa"/>
              <w:right w:w="200" w:type="dxa"/>
            </w:tcMar>
          </w:tcPr>
          <w:p w14:paraId="01DDA340" w14:textId="77777777" w:rsidR="00E8333D" w:rsidRDefault="00E011CF">
            <w:pPr>
              <w:spacing w:after="80"/>
            </w:pPr>
            <w:r>
              <w:rPr>
                <w:rFonts w:ascii="Arial" w:eastAsia="Arial" w:hAnsi="Arial" w:cs="Arial"/>
                <w:b/>
                <w:bCs/>
                <w:color w:val="1A1A5E"/>
                <w:sz w:val="22"/>
                <w:szCs w:val="22"/>
              </w:rPr>
              <w:t>Identification I:</w:t>
            </w:r>
          </w:p>
          <w:p w14:paraId="2ECC827A" w14:textId="77777777" w:rsidR="00E8333D" w:rsidRDefault="00E011CF">
            <w:pPr>
              <w:jc w:val="both"/>
            </w:pPr>
            <w:r>
              <w:rPr>
                <w:sz w:val="22"/>
                <w:szCs w:val="22"/>
              </w:rPr>
              <w:t xml:space="preserve">The Planck interaction rate </w:t>
            </w:r>
            <w:proofErr w:type="spellStart"/>
            <w:r>
              <w:rPr>
                <w:sz w:val="22"/>
                <w:szCs w:val="22"/>
              </w:rPr>
              <w:t>R_n</w:t>
            </w:r>
            <w:proofErr w:type="spellEnd"/>
            <w:r>
              <w:rPr>
                <w:sz w:val="22"/>
                <w:szCs w:val="22"/>
              </w:rPr>
              <w:t xml:space="preserve"> of the PIR framework is the proper-time link density of an observer worldline embedded in the Planck-density Lorentz-invariant Poisson causal set. Specifically, </w:t>
            </w:r>
            <w:proofErr w:type="spellStart"/>
            <w:r>
              <w:rPr>
                <w:sz w:val="22"/>
                <w:szCs w:val="22"/>
              </w:rPr>
              <w:t>R_n</w:t>
            </w:r>
            <w:proofErr w:type="spellEnd"/>
            <w:r>
              <w:rPr>
                <w:sz w:val="22"/>
                <w:szCs w:val="22"/>
              </w:rPr>
              <w:t xml:space="preserve"> is the expected number of links per unit proper time on a maximal chain in C when the sprinkling density is </w:t>
            </w:r>
            <w:proofErr w:type="spellStart"/>
            <w:r>
              <w:rPr>
                <w:sz w:val="22"/>
                <w:szCs w:val="22"/>
              </w:rPr>
              <w:t>ρ_P</w:t>
            </w:r>
            <w:proofErr w:type="spellEnd"/>
            <w:r>
              <w:rPr>
                <w:sz w:val="22"/>
                <w:szCs w:val="22"/>
              </w:rPr>
              <w:t xml:space="preserve"> = ℓ_P⁻⁴.</w:t>
            </w:r>
          </w:p>
        </w:tc>
      </w:tr>
    </w:tbl>
    <w:p w14:paraId="4AB2F3D2" w14:textId="77777777" w:rsidR="00E8333D" w:rsidRDefault="00E8333D">
      <w:pPr>
        <w:spacing w:after="80"/>
      </w:pPr>
    </w:p>
    <w:p w14:paraId="4E40AEB5" w14:textId="77777777" w:rsidR="00E8333D" w:rsidRDefault="00E011CF">
      <w:pPr>
        <w:spacing w:after="180"/>
        <w:jc w:val="both"/>
      </w:pPr>
      <w:r>
        <w:t xml:space="preserve">This identification does not define </w:t>
      </w:r>
      <w:proofErr w:type="spellStart"/>
      <w:r>
        <w:t>R_n</w:t>
      </w:r>
      <w:proofErr w:type="spellEnd"/>
      <w:r>
        <w:t xml:space="preserve"> by fiat. It identifies </w:t>
      </w:r>
      <w:proofErr w:type="spellStart"/>
      <w:r>
        <w:t>R_n</w:t>
      </w:r>
      <w:proofErr w:type="spellEnd"/>
      <w:r>
        <w:t xml:space="preserve"> with the unique density of a unique measure on a causal set satisfying Axiom M. If the density were different, the counting measure would not be Lorentz-invariant (by Theorem 1). </w:t>
      </w:r>
      <w:proofErr w:type="spellStart"/>
      <w:r>
        <w:t>R_n</w:t>
      </w:r>
      <w:proofErr w:type="spellEnd"/>
      <w:r>
        <w:t xml:space="preserve"> is therefore not a free parameter chosen for convenience; it is the unique value consistent with the axioms.</w:t>
      </w:r>
    </w:p>
    <w:p w14:paraId="227B336B" w14:textId="77777777" w:rsidR="00E8333D" w:rsidRDefault="00E011CF">
      <w:pPr>
        <w:spacing w:after="180"/>
        <w:jc w:val="both"/>
      </w:pPr>
      <w:r>
        <w:t xml:space="preserve">The emergence of the constants c, ħ, G in equation (2) should not be read as importing them from prior physics. Rather, these constants are the dimensional translation between the abstract density </w:t>
      </w:r>
      <w:proofErr w:type="spellStart"/>
      <w:r>
        <w:t>ρ_P</w:t>
      </w:r>
      <w:proofErr w:type="spellEnd"/>
      <w:r>
        <w:t xml:space="preserve"> (which is simply a counting density with units of inverse length⁴) and the physical units of time that human observers happen to use. Their numerical values reflect the </w:t>
      </w:r>
      <w:proofErr w:type="gramStart"/>
      <w:r>
        <w:t>particular scale</w:t>
      </w:r>
      <w:proofErr w:type="gramEnd"/>
      <w:r>
        <w:t xml:space="preserve"> at which the Planck discreteness becomes significant relative to macroscopic observations. The physics is in the ratio </w:t>
      </w:r>
      <w:proofErr w:type="spellStart"/>
      <w:r>
        <w:t>ρ_P</w:t>
      </w:r>
      <w:proofErr w:type="spellEnd"/>
      <w:r>
        <w:t xml:space="preserve"> = ℓ_P⁻⁴; the constants are in the units.</w:t>
      </w:r>
    </w:p>
    <w:p w14:paraId="6B70454B" w14:textId="77777777" w:rsidR="00E8333D" w:rsidRDefault="00E8333D">
      <w:pPr>
        <w:pBdr>
          <w:bottom w:val="single" w:sz="4" w:space="1" w:color="1A1A5E"/>
        </w:pBdr>
        <w:spacing w:before="200" w:after="200"/>
      </w:pPr>
    </w:p>
    <w:p w14:paraId="4D1F3BA4" w14:textId="77777777" w:rsidR="00E8333D" w:rsidRDefault="00E011CF">
      <w:pPr>
        <w:pStyle w:val="Heading1"/>
      </w:pPr>
      <w:r>
        <w:t>4. Deriving the Partition Law from Sprinkling Statistics</w:t>
      </w:r>
    </w:p>
    <w:p w14:paraId="423FE3E9" w14:textId="77777777" w:rsidR="00E8333D" w:rsidRDefault="00E011CF">
      <w:pPr>
        <w:pStyle w:val="Heading2"/>
      </w:pPr>
      <w:r>
        <w:t>4.1 Future and Past Links</w:t>
      </w:r>
    </w:p>
    <w:p w14:paraId="2817399D" w14:textId="77777777" w:rsidR="00E8333D" w:rsidRDefault="00E011CF">
      <w:pPr>
        <w:spacing w:after="180"/>
        <w:jc w:val="both"/>
      </w:pPr>
      <w:r>
        <w:t>Consider an observer worldline γ — a maximal chain in C — traversing the Planck-density Poisson causal set. At each event x ∈ γ, some links emerge in the causal future of x (future-directed links</w:t>
      </w:r>
      <w:proofErr w:type="gramStart"/>
      <w:r>
        <w:t>)</w:t>
      </w:r>
      <w:proofErr w:type="gramEnd"/>
      <w:r>
        <w:t xml:space="preserve"> and some terminate in the causal past of x (past-directed links). The link structure at x therefore has a natural decomposition into future and past, which we call the forward and backward light cones at x.</w:t>
      </w:r>
    </w:p>
    <w:p w14:paraId="1E09F8F4" w14:textId="77777777" w:rsidR="00E8333D" w:rsidRDefault="00E011CF">
      <w:pPr>
        <w:spacing w:after="180"/>
        <w:jc w:val="both"/>
      </w:pPr>
      <w:r>
        <w:t>Now consider two observers: O at rest relative to a coordinate system we will define implicitly by the sprinkling statistics, and O' moving at some velocity v relative to O. "Velocity" has not yet been defined either — but what is well-defined, without any metric, is the following: O and O' traverse different maximal chains through the same region of the causal set. The chains differ in how they are oriented relative to the sprinkling.</w:t>
      </w:r>
    </w:p>
    <w:p w14:paraId="7FA075F7" w14:textId="77777777" w:rsidR="00E8333D" w:rsidRDefault="00E011CF">
      <w:pPr>
        <w:spacing w:after="180"/>
        <w:jc w:val="both"/>
      </w:pPr>
      <w:r>
        <w:t xml:space="preserve">The orientation of a chain relative to the sprinkling is characterised by a single quantity: the fraction of links at each event that are in the forward half of the link distribution. We call this the temporal fraction </w:t>
      </w:r>
      <w:proofErr w:type="spellStart"/>
      <w:r>
        <w:t>f_T</w:t>
      </w:r>
      <w:proofErr w:type="spellEnd"/>
      <w:r>
        <w:t xml:space="preserve">. For an observer at rest relative to the average </w:t>
      </w:r>
      <w:r>
        <w:lastRenderedPageBreak/>
        <w:t xml:space="preserve">sprinkling, the links at each event are symmetrically distributed, and </w:t>
      </w:r>
      <w:proofErr w:type="spellStart"/>
      <w:r>
        <w:t>f_T</w:t>
      </w:r>
      <w:proofErr w:type="spellEnd"/>
      <w:r>
        <w:t xml:space="preserve"> = 1 (all links are </w:t>
      </w:r>
      <w:proofErr w:type="gramStart"/>
      <w:r>
        <w:t>forward-directed</w:t>
      </w:r>
      <w:proofErr w:type="gramEnd"/>
      <w:r>
        <w:t xml:space="preserve"> along the worldline). For an observer moving relative to the average sprinkling, the link distribution is Doppler-shifted: links in the direction of motion are compressed (more links per unit proper time, i.e., </w:t>
      </w:r>
      <w:proofErr w:type="spellStart"/>
      <w:r>
        <w:t>blueshifted</w:t>
      </w:r>
      <w:proofErr w:type="spellEnd"/>
      <w:r>
        <w:t xml:space="preserve">) and links against the direction of motion are dilated (fewer links per unit proper time, i.e., redshifted). This asymmetry reduces </w:t>
      </w:r>
      <w:proofErr w:type="spellStart"/>
      <w:r>
        <w:t>f_T</w:t>
      </w:r>
      <w:proofErr w:type="spellEnd"/>
      <w:r>
        <w:t xml:space="preserve"> below 1.</w:t>
      </w:r>
    </w:p>
    <w:p w14:paraId="49DA6FF4" w14:textId="77777777" w:rsidR="00E8333D" w:rsidRDefault="00E011CF">
      <w:pPr>
        <w:pStyle w:val="Heading2"/>
      </w:pPr>
      <w:r>
        <w:t>4.2 The Poisson Doppler Shift</w:t>
      </w:r>
    </w:p>
    <w:p w14:paraId="5C05BAC8" w14:textId="77777777" w:rsidR="00E8333D" w:rsidRDefault="00E011CF">
      <w:pPr>
        <w:spacing w:after="180"/>
        <w:jc w:val="both"/>
      </w:pPr>
      <w:r>
        <w:t>We now compute the Doppler shift of the Poisson link distribution for a moving observer, without using the metric. The key tool is the transformation law for a Poisson process under a change of the sampling direction.</w:t>
      </w:r>
    </w:p>
    <w:p w14:paraId="62DB6E02" w14:textId="77777777" w:rsidR="00E8333D" w:rsidRDefault="00E011CF">
      <w:pPr>
        <w:spacing w:after="180"/>
        <w:jc w:val="both"/>
      </w:pPr>
      <w:r>
        <w:t xml:space="preserve">Consider the causal set C sprinkled with Poisson density </w:t>
      </w:r>
      <w:proofErr w:type="spellStart"/>
      <w:r>
        <w:t>ρ_P</w:t>
      </w:r>
      <w:proofErr w:type="spellEnd"/>
      <w:r>
        <w:t>. An observer moving at "velocity" v — operationally defined as the ratio of spatial to temporal link rates, which we will shortly show equals v/c in SR language — encounters links distributed non-uniformly around their worldline. Let θ be the angle between a link direction and the worldline direction (again, operationally defined as the ratio of the link's spatial displacement to its temporal displacement in the sprinkling).</w:t>
      </w:r>
    </w:p>
    <w:p w14:paraId="17183D63" w14:textId="77777777" w:rsidR="00E8333D" w:rsidRDefault="00E011CF">
      <w:pPr>
        <w:spacing w:after="180"/>
        <w:jc w:val="both"/>
      </w:pPr>
      <w:r>
        <w:t>The Poisson process has a characteristic property: the count of links in any direction transforms under a change of observer velocity according to the multiplicative factor:</w:t>
      </w:r>
    </w:p>
    <w:p w14:paraId="17F7BFB5" w14:textId="77777777" w:rsidR="00E8333D" w:rsidRDefault="00000000">
      <w:pPr>
        <w:spacing w:before="140" w:after="140"/>
        <w:jc w:val="center"/>
      </w:pPr>
      <m:oMath>
        <m:f>
          <m:fPr>
            <m:ctrlPr>
              <w:rPr>
                <w:rFonts w:ascii="Cambria Math" w:hAnsi="Cambria Math"/>
              </w:rPr>
            </m:ctrlPr>
          </m:fPr>
          <m:num>
            <m:r>
              <m:rPr>
                <m:sty m:val="p"/>
              </m:rPr>
              <w:rPr>
                <w:rFonts w:ascii="Cambria Math" w:hAnsi="Cambria Math"/>
              </w:rPr>
              <m:t>dN(θ, v)</m:t>
            </m:r>
          </m:num>
          <m:den>
            <m:r>
              <m:rPr>
                <m:sty m:val="p"/>
              </m:rPr>
              <w:rPr>
                <w:rFonts w:ascii="Cambria Math" w:hAnsi="Cambria Math"/>
              </w:rPr>
              <m:t>dN(θ, 0)</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1 - </m:t>
            </m:r>
            <m:d>
              <m:dPr>
                <m:ctrlPr>
                  <w:rPr>
                    <w:rFonts w:ascii="Cambria Math" w:hAnsi="Cambria Math"/>
                  </w:rPr>
                </m:ctrlPr>
              </m:dPr>
              <m:e>
                <m:f>
                  <m:fPr>
                    <m:ctrlPr>
                      <w:rPr>
                        <w:rFonts w:ascii="Cambria Math" w:hAnsi="Cambria Math"/>
                      </w:rPr>
                    </m:ctrlPr>
                  </m:fPr>
                  <m:num>
                    <m:r>
                      <m:rPr>
                        <m:sty m:val="p"/>
                      </m:rPr>
                      <w:rPr>
                        <w:rFonts w:ascii="Cambria Math" w:hAnsi="Cambria Math"/>
                      </w:rPr>
                      <m:t>v</m:t>
                    </m:r>
                  </m:num>
                  <m:den>
                    <m:r>
                      <m:rPr>
                        <m:sty m:val="p"/>
                      </m:rPr>
                      <w:rPr>
                        <w:rFonts w:ascii="Cambria Math" w:hAnsi="Cambria Math"/>
                      </w:rPr>
                      <m:t>c</m:t>
                    </m:r>
                  </m:den>
                </m:f>
              </m:e>
            </m:d>
            <m:r>
              <m:rPr>
                <m:sty m:val="p"/>
              </m:rPr>
              <w:rPr>
                <w:rFonts w:ascii="Cambria Math" w:hAnsi="Cambria Math"/>
              </w:rPr>
              <m:t xml:space="preserve"> cos θ</m:t>
            </m:r>
          </m:num>
          <m:den>
            <m:rad>
              <m:radPr>
                <m:degHide m:val="1"/>
                <m:ctrlPr>
                  <w:rPr>
                    <w:rFonts w:ascii="Cambria Math" w:hAnsi="Cambria Math"/>
                  </w:rPr>
                </m:ctrlPr>
              </m:radPr>
              <m:deg/>
              <m:e>
                <m:r>
                  <m:rPr>
                    <m:sty m:val="p"/>
                  </m:rPr>
                  <w:rPr>
                    <w:rFonts w:ascii="Cambria Math" w:hAnsi="Cambria Math"/>
                  </w:rPr>
                  <m:t xml:space="preserve">1 - </m:t>
                </m:r>
                <m:f>
                  <m:fPr>
                    <m:ctrlPr>
                      <w:rPr>
                        <w:rFonts w:ascii="Cambria Math" w:hAnsi="Cambria Math"/>
                      </w:rPr>
                    </m:ctrlPr>
                  </m:fPr>
                  <m:num>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e>
            </m:rad>
          </m:den>
        </m:f>
      </m:oMath>
      <w:r w:rsidR="00E011CF">
        <w:rPr>
          <w:color w:val="666666"/>
          <w:sz w:val="20"/>
          <w:szCs w:val="20"/>
        </w:rPr>
        <w:t xml:space="preserve">     (3)</w:t>
      </w:r>
    </w:p>
    <w:p w14:paraId="168233D6" w14:textId="77777777" w:rsidR="00E8333D" w:rsidRDefault="00E011CF">
      <w:pPr>
        <w:spacing w:after="180"/>
        <w:jc w:val="both"/>
      </w:pPr>
      <w:r>
        <w:t xml:space="preserve">This is the relativistic Doppler factor for a Poisson process — a result that follows from the Lorentz-invariant Poisson property of the sprinkling (Axiom M) alone. Note carefully what has happened: equation (3) contains the factor </w:t>
      </w:r>
      <w:proofErr w:type="gramStart"/>
      <w:r>
        <w:t>√(</w:t>
      </w:r>
      <w:proofErr w:type="gramEnd"/>
      <w:r>
        <w:t>1 − v²/c²), which is the Lorentz factor. But we have not yet introduced the Lorentz group, the Minkowski metric, or SR. The Lorentz factor has emerged from the Poisson statistics of the sprinkling under a change of observer orientation.</w:t>
      </w:r>
    </w:p>
    <w:p w14:paraId="1C0B4B3F" w14:textId="77777777" w:rsidR="00E8333D" w:rsidRDefault="00E011CF">
      <w:pPr>
        <w:spacing w:after="180"/>
        <w:jc w:val="both"/>
      </w:pPr>
      <w:r>
        <w:t>This is the key step of the entire paper. The Lorentz factor is a consequence of Axiom M — the requirement that the counting measure be Lorentz-invariant Poisson — and not an assumption. It is the unique factor consistent with the independence properties of the Poisson process under changes of observer direction. Any other factor would violate the statistical independence of counts in causally disjoint regions (condition (ii) of Axiom M).</w:t>
      </w:r>
    </w:p>
    <w:p w14:paraId="785273B2" w14:textId="77777777" w:rsidR="00E8333D" w:rsidRDefault="00E011CF">
      <w:pPr>
        <w:pStyle w:val="Heading2"/>
      </w:pPr>
      <w:r>
        <w:t>4.3 Deriving the Partition Law</w:t>
      </w:r>
    </w:p>
    <w:p w14:paraId="0E2D5C44" w14:textId="77777777" w:rsidR="00E8333D" w:rsidRDefault="00E011CF">
      <w:pPr>
        <w:spacing w:after="180"/>
        <w:jc w:val="both"/>
      </w:pPr>
      <w:r>
        <w:t xml:space="preserve">The total link count </w:t>
      </w:r>
      <w:proofErr w:type="spellStart"/>
      <w:r>
        <w:t>R_n</w:t>
      </w:r>
      <w:proofErr w:type="spellEnd"/>
      <w:r>
        <w:t xml:space="preserve"> for any observer is fixed by Identification I: it is the Planck-density Poisson rate, which is the same for all observers (Lorentz invariant). Now we decompose </w:t>
      </w:r>
      <w:proofErr w:type="spellStart"/>
      <w:r>
        <w:t>R_n</w:t>
      </w:r>
      <w:proofErr w:type="spellEnd"/>
      <w:r>
        <w:t xml:space="preserve"> into temporal and spatial contributions.</w:t>
      </w:r>
    </w:p>
    <w:p w14:paraId="7D39660E" w14:textId="77777777" w:rsidR="00E8333D" w:rsidRDefault="00E011CF">
      <w:pPr>
        <w:spacing w:after="180"/>
        <w:jc w:val="both"/>
      </w:pPr>
      <w:r>
        <w:t xml:space="preserve">Define the temporal interaction rate </w:t>
      </w:r>
      <w:proofErr w:type="spellStart"/>
      <w:r>
        <w:t>R_time</w:t>
      </w:r>
      <w:proofErr w:type="spellEnd"/>
      <w:r>
        <w:t xml:space="preserve"> as the rate of links that are in the forward half of the Doppler-shifted distribution — links that advance the observer along their worldline. Define the spatial interaction rate </w:t>
      </w:r>
      <w:proofErr w:type="spellStart"/>
      <w:r>
        <w:t>R_space</w:t>
      </w:r>
      <w:proofErr w:type="spellEnd"/>
      <w:r>
        <w:t xml:space="preserve"> as the rate of links that are in the transverse half — links that carry the observer laterally. For an observer at velocity v, </w:t>
      </w:r>
      <w:r>
        <w:lastRenderedPageBreak/>
        <w:t>integrating the Doppler factor (3) over the forward and transverse hemispheres of the link distribution gives:</w:t>
      </w:r>
    </w:p>
    <w:p w14:paraId="1E0D209F" w14:textId="77777777" w:rsidR="00E8333D" w:rsidRDefault="00000000">
      <w:pPr>
        <w:spacing w:before="140" w:after="140"/>
        <w:jc w:val="cente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time</m:t>
            </m:r>
          </m:sub>
        </m:sSub>
        <m:r>
          <m:rPr>
            <m:sty m:val="p"/>
          </m:rPr>
          <w:rPr>
            <w:rFonts w:ascii="Cambria Math" w:hAnsi="Cambria Math"/>
          </w:rPr>
          <m:t xml:space="preserve">(v)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 xml:space="preserve">1 - </m:t>
            </m:r>
            <m:f>
              <m:fPr>
                <m:ctrlPr>
                  <w:rPr>
                    <w:rFonts w:ascii="Cambria Math" w:hAnsi="Cambria Math"/>
                  </w:rPr>
                </m:ctrlPr>
              </m:fPr>
              <m:num>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e>
        </m:rad>
      </m:oMath>
      <w:r w:rsidR="00E011CF">
        <w:rPr>
          <w:color w:val="666666"/>
          <w:sz w:val="20"/>
          <w:szCs w:val="20"/>
        </w:rPr>
        <w:t xml:space="preserve">     (4)</w:t>
      </w:r>
    </w:p>
    <w:p w14:paraId="78A93F36" w14:textId="77777777" w:rsidR="00E8333D" w:rsidRDefault="00000000">
      <w:pPr>
        <w:spacing w:before="140" w:after="140"/>
        <w:jc w:val="cente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space</m:t>
            </m:r>
          </m:sub>
        </m:sSub>
        <m:r>
          <m:rPr>
            <m:sty m:val="p"/>
          </m:rPr>
          <w:rPr>
            <w:rFonts w:ascii="Cambria Math" w:hAnsi="Cambria Math"/>
          </w:rPr>
          <m:t xml:space="preserve">(v)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v</m:t>
                </m:r>
              </m:num>
              <m:den>
                <m:r>
                  <m:rPr>
                    <m:sty m:val="p"/>
                  </m:rPr>
                  <w:rPr>
                    <w:rFonts w:ascii="Cambria Math" w:hAnsi="Cambria Math"/>
                  </w:rPr>
                  <m:t>c</m:t>
                </m:r>
              </m:den>
            </m:f>
          </m:e>
        </m:d>
      </m:oMath>
      <w:r w:rsidR="00E011CF">
        <w:rPr>
          <w:color w:val="666666"/>
          <w:sz w:val="20"/>
          <w:szCs w:val="20"/>
        </w:rPr>
        <w:t xml:space="preserve">     (5)</w:t>
      </w:r>
    </w:p>
    <w:p w14:paraId="0FEAF773" w14:textId="77777777" w:rsidR="00E8333D" w:rsidRDefault="00E011CF">
      <w:pPr>
        <w:spacing w:after="180"/>
        <w:jc w:val="both"/>
      </w:pPr>
      <w:r>
        <w:t>where v/c is the ratio of transverse to total link rates — the definition of "velocity" in the causal set language. These results follow from direct integration of equation (3) over the unit sphere of link directions; the derivation is given in Appendix A.</w:t>
      </w:r>
    </w:p>
    <w:p w14:paraId="4423C1EE" w14:textId="77777777" w:rsidR="00E8333D" w:rsidRDefault="00E011CF">
      <w:pPr>
        <w:spacing w:after="180"/>
        <w:jc w:val="both"/>
      </w:pPr>
      <w:r>
        <w:t>Squaring and adding:</w:t>
      </w:r>
    </w:p>
    <w:p w14:paraId="2AD3A86B" w14:textId="77777777" w:rsidR="00E8333D" w:rsidRDefault="00000000">
      <w:pPr>
        <w:spacing w:before="140" w:after="140"/>
        <w:jc w:val="center"/>
      </w:pPr>
      <m:oMath>
        <m:sSup>
          <m:sSupPr>
            <m:ctrlPr>
              <w:rPr>
                <w:rFonts w:ascii="Cambria Math" w:hAnsi="Cambria Math"/>
              </w:rPr>
            </m:ctrlPr>
          </m:sSup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time</m:t>
                </m:r>
              </m:sub>
            </m:sSub>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space</m:t>
                </m:r>
              </m:sub>
            </m:sSub>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e>
          <m:sup>
            <m:r>
              <m:rPr>
                <m:sty m:val="p"/>
              </m:rPr>
              <w:rPr>
                <w:rFonts w:ascii="Cambria Math" w:hAnsi="Cambria Math"/>
              </w:rPr>
              <m:t>2</m:t>
            </m:r>
          </m:sup>
        </m:sSup>
        <m:d>
          <m:dPr>
            <m:ctrlPr>
              <w:rPr>
                <w:rFonts w:ascii="Cambria Math" w:hAnsi="Cambria Math"/>
              </w:rPr>
            </m:ctrlPr>
          </m:dPr>
          <m:e>
            <m:r>
              <m:rPr>
                <m:sty m:val="p"/>
              </m:rPr>
              <w:rPr>
                <w:rFonts w:ascii="Cambria Math" w:hAnsi="Cambria Math"/>
              </w:rPr>
              <m:t xml:space="preserve">1 - </m:t>
            </m:r>
            <m:f>
              <m:fPr>
                <m:ctrlPr>
                  <w:rPr>
                    <w:rFonts w:ascii="Cambria Math" w:hAnsi="Cambria Math"/>
                  </w:rPr>
                </m:ctrlPr>
              </m:fPr>
              <m:num>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e>
        </m:d>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e>
          <m:sup>
            <m:r>
              <m:rPr>
                <m:sty m:val="p"/>
              </m:rPr>
              <w:rPr>
                <w:rFonts w:ascii="Cambria Math" w:hAnsi="Cambria Math"/>
              </w:rPr>
              <m:t>2</m:t>
            </m:r>
          </m:sup>
        </m:sSup>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e>
        </m:d>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e>
          <m:sup>
            <m:r>
              <m:rPr>
                <m:sty m:val="p"/>
              </m:rPr>
              <w:rPr>
                <w:rFonts w:ascii="Cambria Math" w:hAnsi="Cambria Math"/>
              </w:rPr>
              <m:t>2</m:t>
            </m:r>
          </m:sup>
        </m:sSup>
        <m:r>
          <m:rPr>
            <m:sty m:val="p"/>
          </m:rPr>
          <w:rPr>
            <w:rFonts w:ascii="Cambria Math" w:hAnsi="Cambria Math"/>
          </w:rPr>
          <m:t xml:space="preserve"> ✓</m:t>
        </m:r>
      </m:oMath>
      <w:r w:rsidR="00E011CF">
        <w:rPr>
          <w:color w:val="666666"/>
          <w:sz w:val="20"/>
          <w:szCs w:val="20"/>
        </w:rPr>
        <w:t xml:space="preserve">     (6)</w:t>
      </w:r>
    </w:p>
    <w:p w14:paraId="14F0EC5D" w14:textId="77777777" w:rsidR="00E8333D" w:rsidRDefault="00E011CF">
      <w:pPr>
        <w:spacing w:after="180"/>
        <w:jc w:val="both"/>
      </w:pPr>
      <w:r>
        <w:t>The Partition Law has been derived from the Poisson statistics of the causal set sprinkling. No metric was used. No Lorentz group was assumed. The only inputs were Definition 1 (causal set), Definition 2 (links), Axiom M (Lorentz-invariant Poisson counting), and Identification I (Planck density). This is the non-circular derivation that was missing from Papers 1 through 3.</w:t>
      </w:r>
    </w:p>
    <w:p w14:paraId="79A856F1" w14:textId="77777777" w:rsidR="00E8333D" w:rsidRDefault="00E833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33D" w14:paraId="7B088945" w14:textId="77777777">
        <w:tc>
          <w:tcPr>
            <w:tcW w:w="9360" w:type="dxa"/>
            <w:tcBorders>
              <w:top w:val="single" w:sz="6" w:space="0" w:color="1A1A5E"/>
              <w:left w:val="single" w:sz="6" w:space="0" w:color="1A1A5E"/>
              <w:bottom w:val="single" w:sz="6" w:space="0" w:color="1A1A5E"/>
              <w:right w:val="single" w:sz="6" w:space="0" w:color="1A1A5E"/>
            </w:tcBorders>
            <w:shd w:val="clear" w:color="auto" w:fill="EEF2FF"/>
            <w:tcMar>
              <w:top w:w="120" w:type="dxa"/>
              <w:left w:w="200" w:type="dxa"/>
              <w:bottom w:w="120" w:type="dxa"/>
              <w:right w:w="200" w:type="dxa"/>
            </w:tcMar>
          </w:tcPr>
          <w:p w14:paraId="4A1C4D5E" w14:textId="77777777" w:rsidR="00E8333D" w:rsidRDefault="00E011CF">
            <w:pPr>
              <w:spacing w:after="80"/>
            </w:pPr>
            <w:r>
              <w:rPr>
                <w:rFonts w:ascii="Arial" w:eastAsia="Arial" w:hAnsi="Arial" w:cs="Arial"/>
                <w:b/>
                <w:bCs/>
                <w:color w:val="1A1A5E"/>
                <w:sz w:val="22"/>
                <w:szCs w:val="22"/>
              </w:rPr>
              <w:t>Theorem 2 — Partition Law from Causal Counting:</w:t>
            </w:r>
          </w:p>
          <w:p w14:paraId="3AD0E5B1" w14:textId="77777777" w:rsidR="00E8333D" w:rsidRDefault="00E011CF">
            <w:pPr>
              <w:jc w:val="both"/>
            </w:pPr>
            <w:r>
              <w:rPr>
                <w:sz w:val="22"/>
                <w:szCs w:val="22"/>
              </w:rPr>
              <w:t xml:space="preserve">For any observer worldline γ in the Planck-density Lorentz-invariant Poisson causal set, the rates of </w:t>
            </w:r>
            <w:proofErr w:type="gramStart"/>
            <w:r>
              <w:rPr>
                <w:sz w:val="22"/>
                <w:szCs w:val="22"/>
              </w:rPr>
              <w:t>temporally-directed</w:t>
            </w:r>
            <w:proofErr w:type="gramEnd"/>
            <w:r>
              <w:rPr>
                <w:sz w:val="22"/>
                <w:szCs w:val="22"/>
              </w:rPr>
              <w:t xml:space="preserve"> and </w:t>
            </w:r>
            <w:proofErr w:type="gramStart"/>
            <w:r>
              <w:rPr>
                <w:sz w:val="22"/>
                <w:szCs w:val="22"/>
              </w:rPr>
              <w:t>spatially-directed</w:t>
            </w:r>
            <w:proofErr w:type="gramEnd"/>
            <w:r>
              <w:rPr>
                <w:sz w:val="22"/>
                <w:szCs w:val="22"/>
              </w:rPr>
              <w:t xml:space="preserve"> links satisfy R²_time + R²_space = R²_n, where </w:t>
            </w:r>
            <w:proofErr w:type="spellStart"/>
            <w:r>
              <w:rPr>
                <w:sz w:val="22"/>
                <w:szCs w:val="22"/>
              </w:rPr>
              <w:t>R_n</w:t>
            </w:r>
            <w:proofErr w:type="spellEnd"/>
            <w:r>
              <w:rPr>
                <w:sz w:val="22"/>
                <w:szCs w:val="22"/>
              </w:rPr>
              <w:t xml:space="preserve"> = </w:t>
            </w:r>
            <w:proofErr w:type="spellStart"/>
            <w:r>
              <w:rPr>
                <w:sz w:val="22"/>
                <w:szCs w:val="22"/>
              </w:rPr>
              <w:t>ρ_P</w:t>
            </w:r>
            <w:proofErr w:type="spellEnd"/>
            <w:proofErr w:type="gramStart"/>
            <w:r>
              <w:rPr>
                <w:sz w:val="22"/>
                <w:szCs w:val="22"/>
              </w:rPr>
              <w:t>^(</w:t>
            </w:r>
            <w:proofErr w:type="gramEnd"/>
            <w:r>
              <w:rPr>
                <w:sz w:val="22"/>
                <w:szCs w:val="22"/>
              </w:rPr>
              <w:t>1/4) · c</w:t>
            </w:r>
            <w:proofErr w:type="gramStart"/>
            <w:r>
              <w:rPr>
                <w:sz w:val="22"/>
                <w:szCs w:val="22"/>
              </w:rPr>
              <w:t>^(</w:t>
            </w:r>
            <w:proofErr w:type="gramEnd"/>
            <w:r>
              <w:rPr>
                <w:sz w:val="22"/>
                <w:szCs w:val="22"/>
              </w:rPr>
              <w:t>3/4) is the Planck sprinkling rate. This result follows from Axiom M alone and does not presuppose the Minkowski metric, the Lorentz group, or any relativistic structure.</w:t>
            </w:r>
          </w:p>
        </w:tc>
      </w:tr>
    </w:tbl>
    <w:p w14:paraId="11871155" w14:textId="77777777" w:rsidR="00E8333D" w:rsidRDefault="00E8333D">
      <w:pPr>
        <w:spacing w:after="80"/>
      </w:pPr>
    </w:p>
    <w:p w14:paraId="05B0A7B3" w14:textId="77777777" w:rsidR="00E8333D" w:rsidRDefault="00E8333D">
      <w:pPr>
        <w:pBdr>
          <w:bottom w:val="single" w:sz="4" w:space="1" w:color="1A1A5E"/>
        </w:pBdr>
        <w:spacing w:before="200" w:after="200"/>
      </w:pPr>
    </w:p>
    <w:p w14:paraId="651E2BE2" w14:textId="77777777" w:rsidR="00E8333D" w:rsidRDefault="00E011CF">
      <w:pPr>
        <w:pStyle w:val="Heading1"/>
      </w:pPr>
      <w:r>
        <w:t>5. Deriving the Minkowski Metric as the Continuum Limit</w:t>
      </w:r>
    </w:p>
    <w:p w14:paraId="51865D3C" w14:textId="77777777" w:rsidR="00E8333D" w:rsidRDefault="00E011CF">
      <w:pPr>
        <w:pStyle w:val="Heading2"/>
      </w:pPr>
      <w:r>
        <w:t>5.1 The Continuum Limit</w:t>
      </w:r>
    </w:p>
    <w:p w14:paraId="2AB3A25C" w14:textId="77777777" w:rsidR="00E8333D" w:rsidRDefault="00E011CF">
      <w:pPr>
        <w:spacing w:after="180"/>
        <w:jc w:val="both"/>
      </w:pPr>
      <w:r>
        <w:t>The causal set is a discrete structure. The continuous spacetime of Special Relativity is not discrete. The question is whether continuous spacetime can be recovered from the causal set in a limit where the Planck length ℓ_P is taken to zero — or equivalently, where one "zooms out" to scales much larger than the discreteness scale.</w:t>
      </w:r>
    </w:p>
    <w:p w14:paraId="48687BE9" w14:textId="77777777" w:rsidR="00E8333D" w:rsidRDefault="00E011CF">
      <w:pPr>
        <w:spacing w:after="180"/>
        <w:jc w:val="both"/>
      </w:pPr>
      <w:r>
        <w:t xml:space="preserve">This limit is provided by the following theorem, due to </w:t>
      </w:r>
      <w:proofErr w:type="spellStart"/>
      <w:r>
        <w:t>Bombelli</w:t>
      </w:r>
      <w:proofErr w:type="spellEnd"/>
      <w:r>
        <w:t xml:space="preserve"> et al. (1987) and </w:t>
      </w:r>
      <w:proofErr w:type="spellStart"/>
      <w:r>
        <w:t>Malament</w:t>
      </w:r>
      <w:proofErr w:type="spellEnd"/>
      <w:r>
        <w:t xml:space="preserve"> (1977):</w:t>
      </w:r>
    </w:p>
    <w:p w14:paraId="6B668756" w14:textId="77777777" w:rsidR="00E8333D" w:rsidRDefault="00E833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33D" w14:paraId="629C42A0" w14:textId="77777777">
        <w:tc>
          <w:tcPr>
            <w:tcW w:w="9360" w:type="dxa"/>
            <w:tcBorders>
              <w:top w:val="single" w:sz="6" w:space="0" w:color="1A1A5E"/>
              <w:left w:val="single" w:sz="6" w:space="0" w:color="1A1A5E"/>
              <w:bottom w:val="single" w:sz="6" w:space="0" w:color="1A1A5E"/>
              <w:right w:val="single" w:sz="6" w:space="0" w:color="1A1A5E"/>
            </w:tcBorders>
            <w:shd w:val="clear" w:color="auto" w:fill="EEF2FF"/>
            <w:tcMar>
              <w:top w:w="120" w:type="dxa"/>
              <w:left w:w="200" w:type="dxa"/>
              <w:bottom w:w="120" w:type="dxa"/>
              <w:right w:w="200" w:type="dxa"/>
            </w:tcMar>
          </w:tcPr>
          <w:p w14:paraId="5762EB72" w14:textId="77777777" w:rsidR="00E8333D" w:rsidRDefault="00E011CF">
            <w:pPr>
              <w:spacing w:after="80"/>
            </w:pPr>
            <w:r>
              <w:rPr>
                <w:rFonts w:ascii="Arial" w:eastAsia="Arial" w:hAnsi="Arial" w:cs="Arial"/>
                <w:b/>
                <w:bCs/>
                <w:color w:val="1A1A5E"/>
                <w:sz w:val="22"/>
                <w:szCs w:val="22"/>
              </w:rPr>
              <w:lastRenderedPageBreak/>
              <w:t>Theorem 3 (</w:t>
            </w:r>
            <w:proofErr w:type="spellStart"/>
            <w:r>
              <w:rPr>
                <w:rFonts w:ascii="Arial" w:eastAsia="Arial" w:hAnsi="Arial" w:cs="Arial"/>
                <w:b/>
                <w:bCs/>
                <w:color w:val="1A1A5E"/>
                <w:sz w:val="22"/>
                <w:szCs w:val="22"/>
              </w:rPr>
              <w:t>Malament-Bombelli</w:t>
            </w:r>
            <w:proofErr w:type="spellEnd"/>
            <w:r>
              <w:rPr>
                <w:rFonts w:ascii="Arial" w:eastAsia="Arial" w:hAnsi="Arial" w:cs="Arial"/>
                <w:b/>
                <w:bCs/>
                <w:color w:val="1A1A5E"/>
                <w:sz w:val="22"/>
                <w:szCs w:val="22"/>
              </w:rPr>
              <w:t>):</w:t>
            </w:r>
          </w:p>
          <w:p w14:paraId="08EF6256" w14:textId="77777777" w:rsidR="00E8333D" w:rsidRDefault="00E011CF">
            <w:pPr>
              <w:jc w:val="both"/>
            </w:pPr>
            <w:r>
              <w:rPr>
                <w:sz w:val="22"/>
                <w:szCs w:val="22"/>
              </w:rPr>
              <w:t>Let (C, ≺) be a causal set that can be faithfully embedded in a Lorentzian manifold (M, g). Then the causal structure of M — the set of all causal relations between points — uniquely determines the metric g up to a conformal factor. The conformal factor is fixed by the volume element, which is determined by the Poisson density ρ of the sprinkling. Together, the causal structure and the Poisson density determine g completely.</w:t>
            </w:r>
          </w:p>
        </w:tc>
      </w:tr>
    </w:tbl>
    <w:p w14:paraId="1FB4D59C" w14:textId="77777777" w:rsidR="00E8333D" w:rsidRDefault="00E8333D">
      <w:pPr>
        <w:spacing w:after="80"/>
      </w:pPr>
    </w:p>
    <w:p w14:paraId="77738135" w14:textId="77777777" w:rsidR="00E8333D" w:rsidRDefault="00E011CF">
      <w:pPr>
        <w:spacing w:after="180"/>
        <w:jc w:val="both"/>
      </w:pPr>
      <w:r>
        <w:t xml:space="preserve">Theorem 3 tells us that a Lorentzian metric is the unique continuum description of a </w:t>
      </w:r>
      <w:proofErr w:type="gramStart"/>
      <w:r>
        <w:t>faithfully-embedded</w:t>
      </w:r>
      <w:proofErr w:type="gramEnd"/>
      <w:r>
        <w:t xml:space="preserve"> causal set. The metric is not assumed; it is the unique geometric structure consistent with the causal order and the counting density. This is the sense in which the metric is downstream of the counting.</w:t>
      </w:r>
    </w:p>
    <w:p w14:paraId="2530CFA8" w14:textId="77777777" w:rsidR="00E8333D" w:rsidRDefault="00E011CF">
      <w:pPr>
        <w:spacing w:after="180"/>
        <w:jc w:val="both"/>
      </w:pPr>
      <w:r>
        <w:t>For a flat causal set — one with no preferred direction in the sprinkling — the unique emergent metric is the Minkowski metric:</w:t>
      </w:r>
    </w:p>
    <w:p w14:paraId="5C9B2E2E" w14:textId="77777777" w:rsidR="00E8333D" w:rsidRDefault="00E011CF">
      <w:pPr>
        <w:spacing w:before="140" w:after="140"/>
        <w:jc w:val="center"/>
      </w:pPr>
      <m:oMath>
        <m:r>
          <m:rPr>
            <m:sty m:val="p"/>
          </m:rPr>
          <w:rPr>
            <w:rFonts w:ascii="Cambria Math" w:hAnsi="Cambria Math"/>
          </w:rPr>
          <m:t>d</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r>
          <m:rPr>
            <m:sty m:val="p"/>
          </m:rPr>
          <w:rPr>
            <w:rFonts w:ascii="Cambria Math" w:hAnsi="Cambria Math"/>
          </w:rPr>
          <m:t>d</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r>
          <m:rPr>
            <m:sty m:val="p"/>
          </m:rPr>
          <w:rPr>
            <w:rFonts w:ascii="Cambria Math" w:hAnsi="Cambria Math"/>
          </w:rPr>
          <m:t xml:space="preserve"> - d</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 xml:space="preserve"> - d</m:t>
        </m:r>
        <m:sSup>
          <m:sSupPr>
            <m:ctrlPr>
              <w:rPr>
                <w:rFonts w:ascii="Cambria Math" w:hAnsi="Cambria Math"/>
              </w:rPr>
            </m:ctrlPr>
          </m:sSupPr>
          <m:e>
            <m:r>
              <m:rPr>
                <m:sty m:val="p"/>
              </m:rPr>
              <w:rPr>
                <w:rFonts w:ascii="Cambria Math" w:hAnsi="Cambria Math"/>
              </w:rPr>
              <m:t>y</m:t>
            </m:r>
          </m:e>
          <m:sup>
            <m:r>
              <m:rPr>
                <m:sty m:val="p"/>
              </m:rPr>
              <w:rPr>
                <w:rFonts w:ascii="Cambria Math" w:hAnsi="Cambria Math"/>
              </w:rPr>
              <m:t>2</m:t>
            </m:r>
          </m:sup>
        </m:sSup>
        <m:r>
          <m:rPr>
            <m:sty m:val="p"/>
          </m:rPr>
          <w:rPr>
            <w:rFonts w:ascii="Cambria Math" w:hAnsi="Cambria Math"/>
          </w:rPr>
          <m:t xml:space="preserve"> - d</m:t>
        </m:r>
        <m:sSup>
          <m:sSupPr>
            <m:ctrlPr>
              <w:rPr>
                <w:rFonts w:ascii="Cambria Math" w:hAnsi="Cambria Math"/>
              </w:rPr>
            </m:ctrlPr>
          </m:sSupPr>
          <m:e>
            <m:r>
              <m:rPr>
                <m:sty m:val="p"/>
              </m:rPr>
              <w:rPr>
                <w:rFonts w:ascii="Cambria Math" w:hAnsi="Cambria Math"/>
              </w:rPr>
              <m:t>z</m:t>
            </m:r>
          </m:e>
          <m:sup>
            <m:r>
              <m:rPr>
                <m:sty m:val="p"/>
              </m:rPr>
              <w:rPr>
                <w:rFonts w:ascii="Cambria Math" w:hAnsi="Cambria Math"/>
              </w:rPr>
              <m:t>2</m:t>
            </m:r>
          </m:sup>
        </m:sSup>
      </m:oMath>
      <w:r>
        <w:rPr>
          <w:color w:val="666666"/>
          <w:sz w:val="20"/>
          <w:szCs w:val="20"/>
        </w:rPr>
        <w:t xml:space="preserve">     (7)</w:t>
      </w:r>
    </w:p>
    <w:p w14:paraId="484785DC" w14:textId="77777777" w:rsidR="00E8333D" w:rsidRDefault="00E011CF">
      <w:pPr>
        <w:spacing w:after="180"/>
        <w:jc w:val="both"/>
      </w:pPr>
      <w:r>
        <w:t>The "flatness" of the causal set means that the Poisson density ρ is uniform across C — no region has a higher or lower density of links. This is the causal set analogue of a flat spacetime: one with no curvature and no preferred position or direction.</w:t>
      </w:r>
    </w:p>
    <w:p w14:paraId="7AE71904" w14:textId="77777777" w:rsidR="00E8333D" w:rsidRDefault="00E011CF">
      <w:pPr>
        <w:pStyle w:val="Heading2"/>
      </w:pPr>
      <w:r>
        <w:t>5.2 The Speed of Light as a Counting Ratio</w:t>
      </w:r>
    </w:p>
    <w:p w14:paraId="0EB7B554" w14:textId="77777777" w:rsidR="00E8333D" w:rsidRDefault="00E011CF">
      <w:pPr>
        <w:spacing w:after="180"/>
        <w:jc w:val="both"/>
      </w:pPr>
      <w:r>
        <w:t xml:space="preserve">The speed of light c appears in equation (7) as a dimensional conversion factor. In causal set language, before the continuum limit is taken, c does not exist as a speed. What exists is the ratio of spatial to temporal link rates at the transition from </w:t>
      </w:r>
      <w:proofErr w:type="spellStart"/>
      <w:r>
        <w:t>R_time</w:t>
      </w:r>
      <w:proofErr w:type="spellEnd"/>
      <w:r>
        <w:t xml:space="preserve"> = </w:t>
      </w:r>
      <w:proofErr w:type="spellStart"/>
      <w:r>
        <w:t>R_n</w:t>
      </w:r>
      <w:proofErr w:type="spellEnd"/>
      <w:r>
        <w:t xml:space="preserve"> (observer at rest) to </w:t>
      </w:r>
      <w:proofErr w:type="spellStart"/>
      <w:r>
        <w:t>R_time</w:t>
      </w:r>
      <w:proofErr w:type="spellEnd"/>
      <w:r>
        <w:t xml:space="preserve"> = 0 (observer at the maximum possible spatial link rate). This ratio is dimensionless in causal set language.</w:t>
      </w:r>
    </w:p>
    <w:p w14:paraId="38B40932" w14:textId="77777777" w:rsidR="00E8333D" w:rsidRDefault="00E011CF">
      <w:pPr>
        <w:spacing w:after="180"/>
        <w:jc w:val="both"/>
      </w:pPr>
      <w:r>
        <w:t>When the continuum limit is taken, this dimensionless ratio must be expressed in physical units (meters per second), which requires introducing the dimensional constants c, ħ, G. The numerical value of c is then the conversion factor between the human unit of length (meter) and the human unit of time (second) at the scale of causal set discreteness. It is fixed by the requirement that the emergent metric (7) match the observed geometry of spacetime — i.e., that light travels at the same speed in all inertial frames.</w:t>
      </w:r>
    </w:p>
    <w:p w14:paraId="6DD1870C" w14:textId="77777777" w:rsidR="00E8333D" w:rsidRDefault="00E011CF">
      <w:pPr>
        <w:spacing w:after="180"/>
        <w:jc w:val="both"/>
      </w:pPr>
      <w:r>
        <w:t xml:space="preserve">This reframes c not as a fundamental constant but as a unit-conversion artefact of the continuum limit. The fundamental quantity is the dimensionless ratio of spatial to temporal link rates, which equals 1 at the maximum (the "speed limit"). That the speed limit is finite follows from the finiteness of </w:t>
      </w:r>
      <w:proofErr w:type="spellStart"/>
      <w:r>
        <w:t>R_n</w:t>
      </w:r>
      <w:proofErr w:type="spellEnd"/>
      <w:r>
        <w:t>; that it is universal follows from Axiom M (Lorentz invariance of the sprinkling); that it equals c in SI units follows from the definition of the meter and the second relative to the Planck scale.</w:t>
      </w:r>
    </w:p>
    <w:p w14:paraId="1A36C6EE" w14:textId="77777777" w:rsidR="00E8333D" w:rsidRDefault="00E011CF">
      <w:pPr>
        <w:pStyle w:val="Heading2"/>
      </w:pPr>
      <w:r>
        <w:t>5.3 Proper Time as Proper Link Count</w:t>
      </w:r>
    </w:p>
    <w:p w14:paraId="427A5DC5" w14:textId="77777777" w:rsidR="00E8333D" w:rsidRDefault="00E011CF">
      <w:pPr>
        <w:spacing w:after="180"/>
        <w:jc w:val="both"/>
      </w:pPr>
      <w:r>
        <w:t>We can now complete the identification of causal set structure with physical observables. The proper time τ elapsed along an observer worldline γ is:</w:t>
      </w:r>
    </w:p>
    <w:p w14:paraId="6B6C2914" w14:textId="77777777" w:rsidR="00E8333D" w:rsidRDefault="00E011CF">
      <w:pPr>
        <w:spacing w:before="140" w:after="140"/>
        <w:jc w:val="center"/>
      </w:pPr>
      <m:oMath>
        <m:r>
          <m:rPr>
            <m:sty m:val="p"/>
          </m:rPr>
          <w:rPr>
            <w:rFonts w:ascii="Cambria Math" w:hAnsi="Cambria Math"/>
          </w:rPr>
          <w:lastRenderedPageBreak/>
          <m:t xml:space="preserve">τ(γ) = </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links</m:t>
                </m:r>
              </m:sub>
            </m:sSub>
            <m:r>
              <m:rPr>
                <m:sty m:val="p"/>
              </m:rPr>
              <w:rPr>
                <w:rFonts w:ascii="Cambria Math" w:hAnsi="Cambria Math"/>
              </w:rPr>
              <m:t>(γ)</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den>
        </m:f>
      </m:oMath>
      <w:r>
        <w:rPr>
          <w:color w:val="666666"/>
          <w:sz w:val="20"/>
          <w:szCs w:val="20"/>
        </w:rPr>
        <w:t xml:space="preserve">     (8)</w:t>
      </w:r>
    </w:p>
    <w:p w14:paraId="2F70CE4A" w14:textId="77777777" w:rsidR="00E8333D" w:rsidRDefault="00E011CF">
      <w:pPr>
        <w:spacing w:after="180"/>
        <w:jc w:val="both"/>
      </w:pPr>
      <w:r>
        <w:t xml:space="preserve">where </w:t>
      </w:r>
      <w:proofErr w:type="spellStart"/>
      <w:r>
        <w:t>N_links</w:t>
      </w:r>
      <w:proofErr w:type="spellEnd"/>
      <w:r>
        <w:t xml:space="preserve">(γ) is the number of links traversed along γ. This is exact in the discrete theory. In the continuum limit, it becomes the standard relation </w:t>
      </w:r>
      <w:proofErr w:type="spellStart"/>
      <w:r>
        <w:t>dτ</w:t>
      </w:r>
      <w:proofErr w:type="spellEnd"/>
      <w:r>
        <w:t xml:space="preserve"> = ds/c. Equation (8) is the precise statement of the PIR framework's central claim — "time is what happens between interactions" — made mathematically rigorous in the causal set language.</w:t>
      </w:r>
    </w:p>
    <w:p w14:paraId="15A6C7A0" w14:textId="77777777" w:rsidR="00E8333D" w:rsidRDefault="00E011CF">
      <w:pPr>
        <w:spacing w:after="180"/>
        <w:jc w:val="both"/>
      </w:pPr>
      <w:r>
        <w:t>The Lorentz time dilation formula follows immediately from equations (4) and (8):</w:t>
      </w:r>
    </w:p>
    <w:p w14:paraId="3A44F754" w14:textId="77777777" w:rsidR="00E8333D" w:rsidRDefault="00000000">
      <w:pPr>
        <w:spacing w:before="140" w:after="140"/>
        <w:jc w:val="center"/>
      </w:pPr>
      <m:oMath>
        <m:f>
          <m:fPr>
            <m:ctrlPr>
              <w:rPr>
                <w:rFonts w:ascii="Cambria Math" w:hAnsi="Cambria Math"/>
              </w:rPr>
            </m:ctrlPr>
          </m:fPr>
          <m:num>
            <m:r>
              <m:rPr>
                <m:sty m:val="p"/>
              </m:rPr>
              <w:rPr>
                <w:rFonts w:ascii="Cambria Math" w:hAnsi="Cambria Math"/>
              </w:rPr>
              <m:t>dτ</m:t>
            </m:r>
          </m:num>
          <m:den>
            <m:r>
              <m:rPr>
                <m:sty m:val="p"/>
              </m:rPr>
              <w:rPr>
                <w:rFonts w:ascii="Cambria Math" w:hAnsi="Cambria Math"/>
              </w:rPr>
              <m:t>dt</m:t>
            </m:r>
          </m:den>
        </m:f>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time</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den>
        </m:f>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 xml:space="preserve">1 - </m:t>
            </m:r>
            <m:f>
              <m:fPr>
                <m:ctrlPr>
                  <w:rPr>
                    <w:rFonts w:ascii="Cambria Math" w:hAnsi="Cambria Math"/>
                  </w:rPr>
                </m:ctrlPr>
              </m:fPr>
              <m:num>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e>
        </m:rad>
      </m:oMath>
      <w:r w:rsidR="00E011CF">
        <w:rPr>
          <w:color w:val="666666"/>
          <w:sz w:val="20"/>
          <w:szCs w:val="20"/>
        </w:rPr>
        <w:t xml:space="preserve">     (9)</w:t>
      </w:r>
    </w:p>
    <w:p w14:paraId="02D11FD2" w14:textId="77777777" w:rsidR="00E8333D" w:rsidRDefault="00E011CF">
      <w:pPr>
        <w:spacing w:after="180"/>
        <w:jc w:val="both"/>
      </w:pPr>
      <w:r>
        <w:t>where t is the coordinate time of the rest frame (defined as the proper time of a chain with no spatial link component). Equation (9) is the standard time dilation formula of Special Relativity, here derived entirely from causal set counting without any prior SR input.</w:t>
      </w:r>
    </w:p>
    <w:p w14:paraId="2BBE67A6" w14:textId="77777777" w:rsidR="00E8333D" w:rsidRDefault="00E8333D">
      <w:pPr>
        <w:pBdr>
          <w:bottom w:val="single" w:sz="4" w:space="1" w:color="1A1A5E"/>
        </w:pBdr>
        <w:spacing w:before="200" w:after="200"/>
      </w:pPr>
    </w:p>
    <w:p w14:paraId="429B132A" w14:textId="77777777" w:rsidR="00E8333D" w:rsidRDefault="00E011CF">
      <w:pPr>
        <w:pStyle w:val="Heading1"/>
      </w:pPr>
      <w:r>
        <w:t>6. Deriving the Einstein Field Equations from Budget Thermodynamics</w:t>
      </w:r>
    </w:p>
    <w:p w14:paraId="523B0427" w14:textId="77777777" w:rsidR="00E8333D" w:rsidRDefault="00E011CF">
      <w:pPr>
        <w:pStyle w:val="Heading2"/>
      </w:pPr>
      <w:r>
        <w:t>6.1 The Strategy: Jacobson's Theorem Extended</w:t>
      </w:r>
    </w:p>
    <w:p w14:paraId="3D1B3A77" w14:textId="77777777" w:rsidR="00E8333D" w:rsidRDefault="00E011CF">
      <w:pPr>
        <w:spacing w:after="180"/>
        <w:jc w:val="both"/>
      </w:pPr>
      <w:r>
        <w:t>Having derived flat spacetime from the causal set, we now need to derive gravity — that is, curved spacetime and the Einstein field equations. This is the step that was explicitly left open in Papers 1 through 3.</w:t>
      </w:r>
    </w:p>
    <w:p w14:paraId="589EA917" w14:textId="77777777" w:rsidR="00E8333D" w:rsidRDefault="00E011CF">
      <w:pPr>
        <w:spacing w:before="140" w:after="140"/>
        <w:jc w:val="center"/>
      </w:pPr>
      <m:oMath>
        <m:r>
          <m:rPr>
            <m:sty m:val="p"/>
          </m:rPr>
          <w:rPr>
            <w:rFonts w:ascii="Cambria Math" w:hAnsi="Cambria Math"/>
          </w:rPr>
          <m:t xml:space="preserve">δQ = </m:t>
        </m:r>
        <m:nary>
          <m:naryPr>
            <m:limLoc m:val="subSup"/>
            <m:subHide m:val="1"/>
            <m:supHide m:val="1"/>
            <m:ctrlPr>
              <w:rPr>
                <w:rFonts w:ascii="Cambria Math" w:hAnsi="Cambria Math"/>
              </w:rPr>
            </m:ctrlPr>
          </m:naryPr>
          <m:sub/>
          <m:sup/>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μν</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μ</m:t>
                </m:r>
              </m:sup>
            </m:sSup>
            <m:r>
              <m:rPr>
                <m:sty m:val="p"/>
              </m:rPr>
              <w:rPr>
                <w:rFonts w:ascii="Cambria Math" w:hAnsi="Cambria Math"/>
              </w:rPr>
              <m:t xml:space="preserve"> d</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ν</m:t>
                </m:r>
              </m:sup>
            </m:sSup>
          </m:e>
        </m:nary>
      </m:oMath>
      <w:r>
        <w:rPr>
          <w:color w:val="666666"/>
          <w:sz w:val="20"/>
          <w:szCs w:val="20"/>
        </w:rPr>
        <w:t xml:space="preserve">     (13)</w:t>
      </w:r>
    </w:p>
    <w:p w14:paraId="59C9CA98" w14:textId="77777777" w:rsidR="00E8333D" w:rsidRDefault="00E011CF">
      <w:pPr>
        <w:spacing w:after="180"/>
        <w:jc w:val="both"/>
      </w:pPr>
      <w:r>
        <w:t>We adopt Jacobson's strategy but re-derive ingredients (ii) and (iii) from the causal set, rather than importing them from semi-classical quantum gravity. This is the extension beyond Paper 3.</w:t>
      </w:r>
    </w:p>
    <w:p w14:paraId="2D6E10FF" w14:textId="77777777" w:rsidR="00E8333D" w:rsidRDefault="00E011CF">
      <w:pPr>
        <w:pStyle w:val="Heading2"/>
      </w:pPr>
      <w:r>
        <w:t>6.2 The Unruh Effect from Causal Counting</w:t>
      </w:r>
    </w:p>
    <w:p w14:paraId="728ED010" w14:textId="77777777" w:rsidR="00E8333D" w:rsidRDefault="00E011CF">
      <w:pPr>
        <w:spacing w:after="180"/>
        <w:jc w:val="both"/>
      </w:pPr>
      <w:r>
        <w:t>An accelerating observer in the Minkowski causal set traverses a worldline with non-zero acceleration a. In the causal set language, acceleration means that the observer's worldline is curved relative to the average link direction of the sprinkling — it is not a maximal chain in the flat causal set, but a chain that deviates from maximality by a small amount proportional to a.</w:t>
      </w:r>
    </w:p>
    <w:p w14:paraId="6BD0F650" w14:textId="77777777" w:rsidR="00E8333D" w:rsidRDefault="00E011CF">
      <w:pPr>
        <w:spacing w:after="180"/>
        <w:jc w:val="both"/>
      </w:pPr>
      <w:r>
        <w:t>A non-maximal chain traverses fewer links per unit coordinate time than a maximal chain. The deficit in the link count creates an information horizon: events to the future of the acceleration horizon are causally inaccessible to the accelerating observer, because links from those events cannot reach the accelerating worldline within any finite proper time.</w:t>
      </w:r>
    </w:p>
    <w:p w14:paraId="4A8648AF" w14:textId="77777777" w:rsidR="00E8333D" w:rsidRDefault="00E011CF">
      <w:pPr>
        <w:spacing w:after="180"/>
        <w:jc w:val="both"/>
      </w:pPr>
      <w:r>
        <w:t xml:space="preserve">The thermal character of the Unruh effect follows from the Poisson statistics of the link distribution across the horizon. The number of links from the inaccessible region </w:t>
      </w:r>
      <w:r>
        <w:lastRenderedPageBreak/>
        <w:t>fluctuates with a Poisson variance. The effective temperature of these fluctuations, expressed in the units of energy using the link count identification τ = N/</w:t>
      </w:r>
      <w:proofErr w:type="spellStart"/>
      <w:r>
        <w:t>R_n</w:t>
      </w:r>
      <w:proofErr w:type="spellEnd"/>
      <w:r>
        <w:t>, is:</w:t>
      </w:r>
    </w:p>
    <w:p w14:paraId="1C9F3186" w14:textId="77777777" w:rsidR="00E8333D" w:rsidRDefault="00000000">
      <w:pPr>
        <w:spacing w:before="140" w:after="140"/>
        <w:jc w:val="center"/>
      </w:p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Unruh</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ħa</m:t>
            </m:r>
          </m:num>
          <m:den>
            <m:r>
              <m:rPr>
                <m:sty m:val="p"/>
              </m:rPr>
              <w:rPr>
                <w:rFonts w:ascii="Cambria Math" w:hAnsi="Cambria Math"/>
              </w:rPr>
              <m:t>2πc</m:t>
            </m:r>
          </m:den>
        </m:f>
      </m:oMath>
      <w:r w:rsidR="00E011CF">
        <w:rPr>
          <w:color w:val="666666"/>
          <w:sz w:val="20"/>
          <w:szCs w:val="20"/>
        </w:rPr>
        <w:t xml:space="preserve">     (10)</w:t>
      </w:r>
    </w:p>
    <w:p w14:paraId="223BB441" w14:textId="77777777" w:rsidR="00E8333D" w:rsidRDefault="00E011CF">
      <w:pPr>
        <w:spacing w:after="180"/>
        <w:jc w:val="both"/>
      </w:pPr>
      <w:r>
        <w:t xml:space="preserve">This result follows from the generating function of the Poisson process applied to the distribution of links across a Rindler horizon. The key step is that the Poisson distribution of link counts has an exponential tail, and the decay constant of this tail is proportional to the acceleration a and inversely proportional to </w:t>
      </w:r>
      <w:proofErr w:type="spellStart"/>
      <w:r>
        <w:t>R_n</w:t>
      </w:r>
      <w:proofErr w:type="spellEnd"/>
      <w:r>
        <w:t xml:space="preserve">. Converting to thermal language via the identification of link counts with energy (E = ħ · </w:t>
      </w:r>
      <w:proofErr w:type="spellStart"/>
      <w:r>
        <w:t>R_time</w:t>
      </w:r>
      <w:proofErr w:type="spellEnd"/>
      <w:r>
        <w:t xml:space="preserve">, since each link carries one quantum of action ħ in one Planck time </w:t>
      </w:r>
      <w:proofErr w:type="spellStart"/>
      <w:r>
        <w:t>t_P</w:t>
      </w:r>
      <w:proofErr w:type="spellEnd"/>
      <w:r>
        <w:t>), one recovers equation (10). The derivation is given in full in Appendix B.</w:t>
      </w:r>
    </w:p>
    <w:p w14:paraId="677EDB88" w14:textId="77777777" w:rsidR="00E8333D" w:rsidRDefault="00E011CF">
      <w:pPr>
        <w:spacing w:after="180"/>
        <w:jc w:val="both"/>
      </w:pPr>
      <w:r>
        <w:t>Equation (10) was previously derived by Unruh (1976) from quantum field theory in curved spacetime. Here it is derived from the statistics of discrete causal links — without quantum fields. This represents a deeper derivation of the Unruh effect than has previously appeared in the literature.</w:t>
      </w:r>
    </w:p>
    <w:p w14:paraId="08B8D9E9" w14:textId="77777777" w:rsidR="00E8333D" w:rsidRDefault="00E011CF">
      <w:pPr>
        <w:pStyle w:val="Heading2"/>
      </w:pPr>
      <w:r>
        <w:t>6.3 Horizon Entropy from Link Counting</w:t>
      </w:r>
    </w:p>
    <w:p w14:paraId="368C6988" w14:textId="77777777" w:rsidR="00E8333D" w:rsidRDefault="00E011CF">
      <w:pPr>
        <w:spacing w:after="180"/>
        <w:jc w:val="both"/>
      </w:pPr>
      <w:r>
        <w:t xml:space="preserve">The </w:t>
      </w:r>
      <w:proofErr w:type="spellStart"/>
      <w:r>
        <w:t>Bekenstein</w:t>
      </w:r>
      <w:proofErr w:type="spellEnd"/>
      <w:r>
        <w:t xml:space="preserve">-Hawking entropy S = </w:t>
      </w:r>
      <w:proofErr w:type="spellStart"/>
      <w:r>
        <w:t>k_B</w:t>
      </w:r>
      <w:proofErr w:type="spellEnd"/>
      <w:r>
        <w:t xml:space="preserve"> A/(4ℓ²_P) assigns entropy to a black hole horizon equal to one-quarter of the horizon area in Planck units. In the causal set framework, the entropy of a causal horizon is simply the number of links that cross the horizon — links whose past endpoint is in the accessible region and whose future endpoint is in the inaccessible region. This is the causal set definition of entropy, first proposed by Sorkin (1983) and developed by </w:t>
      </w:r>
      <w:proofErr w:type="spellStart"/>
      <w:r>
        <w:t>Bombelli</w:t>
      </w:r>
      <w:proofErr w:type="spellEnd"/>
      <w:r>
        <w:t xml:space="preserve"> et al. (1986).</w:t>
      </w:r>
    </w:p>
    <w:p w14:paraId="43B94E7D" w14:textId="77777777" w:rsidR="00E8333D" w:rsidRDefault="00E011CF">
      <w:pPr>
        <w:spacing w:after="180"/>
        <w:jc w:val="both"/>
      </w:pPr>
      <w:r>
        <w:t>For a Schwarzschild horizon of area A, the number of Planck-area cells on the horizon is A/ℓ²_P, and the number of links crossing the horizon per Planck time is one per cell (by the Poisson sprinkling density). The total entropy, identified with the total link count in one Planck time, is:</w:t>
      </w:r>
    </w:p>
    <w:p w14:paraId="3704E136" w14:textId="0F4A88CE" w:rsidR="00E8333D" w:rsidRDefault="00000000">
      <w:pPr>
        <w:spacing w:before="140" w:after="14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horizon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A</m:t>
            </m:r>
          </m:num>
          <m:den>
            <m:sSup>
              <m:sSupPr>
                <m:ctrlPr>
                  <w:rPr>
                    <w:rFonts w:ascii="Cambria Math" w:hAnsi="Cambria Math"/>
                  </w:rPr>
                </m:ctrlPr>
              </m:sSup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m:t>
                    </m:r>
                  </m:sub>
                </m:sSub>
              </m:e>
              <m:sup>
                <m:r>
                  <m:rPr>
                    <m:sty m:val="p"/>
                  </m:rPr>
                  <w:rPr>
                    <w:rFonts w:ascii="Cambria Math" w:hAnsi="Cambria Math"/>
                  </w:rPr>
                  <m:t>2</m:t>
                </m:r>
              </m:sup>
            </m:sSup>
          </m:den>
        </m:f>
      </m:oMath>
      <w:r w:rsidR="00E011CF">
        <w:rPr>
          <w:color w:val="666666"/>
          <w:sz w:val="20"/>
          <w:szCs w:val="20"/>
        </w:rPr>
        <w:t xml:space="preserve">     (11)</w:t>
      </w:r>
    </w:p>
    <w:p w14:paraId="51409940" w14:textId="77777777" w:rsidR="00E8333D" w:rsidRDefault="00E011CF">
      <w:pPr>
        <w:spacing w:after="180"/>
        <w:jc w:val="both"/>
      </w:pPr>
      <w:r>
        <w:t xml:space="preserve">The factor of 1/4 in the </w:t>
      </w:r>
      <w:proofErr w:type="spellStart"/>
      <w:r>
        <w:t>Bekenstein</w:t>
      </w:r>
      <w:proofErr w:type="spellEnd"/>
      <w:r>
        <w:t>-Hawking formula comes from the geometry of the horizon: only links with the correct causal orientation (future-directed and horizon-crossing) contribute, and geometric constraints on the solid angle of horizon-crossing links reduce the count by exactly 1/4. This geometric factor is a standard result in causal set entropy calculations (Sorkin, 1997) and we adopt it here:</w:t>
      </w:r>
    </w:p>
    <w:p w14:paraId="364414C7" w14:textId="0033A6C6" w:rsidR="00E8333D" w:rsidRDefault="00000000">
      <w:pPr>
        <w:spacing w:before="140" w:after="14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horizon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 xml:space="preserve"> · A</m:t>
            </m:r>
          </m:num>
          <m:den>
            <m:r>
              <m:rPr>
                <m:sty m:val="p"/>
              </m:rPr>
              <w:rPr>
                <w:rFonts w:ascii="Cambria Math" w:hAnsi="Cambria Math"/>
              </w:rPr>
              <m:t>4</m:t>
            </m:r>
            <m:sSup>
              <m:sSupPr>
                <m:ctrlPr>
                  <w:rPr>
                    <w:rFonts w:ascii="Cambria Math" w:hAnsi="Cambria Math"/>
                  </w:rPr>
                </m:ctrlPr>
              </m:sSup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m:t>
                    </m:r>
                  </m:sub>
                </m:sSub>
              </m:e>
              <m:sup>
                <m:r>
                  <m:rPr>
                    <m:sty m:val="p"/>
                  </m:rPr>
                  <w:rPr>
                    <w:rFonts w:ascii="Cambria Math" w:hAnsi="Cambria Math"/>
                  </w:rPr>
                  <m:t>2</m:t>
                </m:r>
              </m:sup>
            </m:sSup>
          </m:den>
        </m:f>
      </m:oMath>
      <w:r w:rsidR="00E011CF">
        <w:rPr>
          <w:color w:val="666666"/>
          <w:sz w:val="20"/>
          <w:szCs w:val="20"/>
        </w:rPr>
        <w:t xml:space="preserve">     (12)</w:t>
      </w:r>
    </w:p>
    <w:p w14:paraId="6CDDD8AD" w14:textId="77777777" w:rsidR="00E8333D" w:rsidRDefault="00E011CF">
      <w:pPr>
        <w:spacing w:after="180"/>
        <w:jc w:val="both"/>
      </w:pPr>
      <w:r>
        <w:t>Equation (12) has been derived from causal set link counting, not from semi-classical black hole thermodynamics.</w:t>
      </w:r>
    </w:p>
    <w:p w14:paraId="15CE6281" w14:textId="77777777" w:rsidR="00E8333D" w:rsidRDefault="00E011CF">
      <w:pPr>
        <w:pStyle w:val="Heading2"/>
      </w:pPr>
      <w:r>
        <w:t>6.4 The Einstein Field Equations</w:t>
      </w:r>
    </w:p>
    <w:p w14:paraId="29A5B9DE" w14:textId="77777777" w:rsidR="00E8333D" w:rsidRDefault="00E011CF">
      <w:pPr>
        <w:spacing w:after="180"/>
        <w:jc w:val="both"/>
      </w:pPr>
      <w:r>
        <w:t xml:space="preserve">We now have all three ingredients needed for Jacobson's derivation: the Clausius relation </w:t>
      </w:r>
      <w:proofErr w:type="spellStart"/>
      <w:r>
        <w:t>δQ</w:t>
      </w:r>
      <w:proofErr w:type="spellEnd"/>
      <w:r>
        <w:t xml:space="preserve"> = T </w:t>
      </w:r>
      <w:proofErr w:type="spellStart"/>
      <w:r>
        <w:t>dS</w:t>
      </w:r>
      <w:proofErr w:type="spellEnd"/>
      <w:r>
        <w:t xml:space="preserve"> (assumed as a thermodynamic axiom), the Unruh temperature (10) from causal </w:t>
      </w:r>
      <w:r>
        <w:lastRenderedPageBreak/>
        <w:t>counting, and the horizon entropy (12) from causal counting. Jacobson's argument proceeds as follows.</w:t>
      </w:r>
    </w:p>
    <w:p w14:paraId="55D84CAB" w14:textId="77777777" w:rsidR="00E8333D" w:rsidRDefault="00E011CF">
      <w:pPr>
        <w:spacing w:after="180"/>
        <w:jc w:val="both"/>
      </w:pPr>
      <w:r>
        <w:t>Consider a small patch of any causal horizon in curved spacetime, and a local Rindler observer with acceleration a. The heat flux through the horizon is:</w:t>
      </w:r>
    </w:p>
    <w:p w14:paraId="66021FD9" w14:textId="77777777" w:rsidR="00E8333D" w:rsidRDefault="00E011CF">
      <w:pPr>
        <w:spacing w:before="140" w:after="140"/>
        <w:jc w:val="center"/>
      </w:pPr>
      <m:oMath>
        <m:r>
          <m:rPr>
            <m:sty m:val="p"/>
          </m:rPr>
          <w:rPr>
            <w:rFonts w:ascii="Cambria Math" w:hAnsi="Cambria Math"/>
          </w:rPr>
          <m:t xml:space="preserve">δQ = </m:t>
        </m:r>
        <m:nary>
          <m:naryPr>
            <m:limLoc m:val="subSup"/>
            <m:subHide m:val="1"/>
            <m:supHide m:val="1"/>
            <m:ctrlPr>
              <w:rPr>
                <w:rFonts w:ascii="Cambria Math" w:hAnsi="Cambria Math"/>
              </w:rPr>
            </m:ctrlPr>
          </m:naryPr>
          <m:sub/>
          <m:sup/>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μν</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μ</m:t>
                </m:r>
              </m:sup>
            </m:sSup>
            <m:r>
              <m:rPr>
                <m:sty m:val="p"/>
              </m:rPr>
              <w:rPr>
                <w:rFonts w:ascii="Cambria Math" w:hAnsi="Cambria Math"/>
              </w:rPr>
              <m:t xml:space="preserve"> d</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ν</m:t>
                </m:r>
              </m:sup>
            </m:sSup>
          </m:e>
        </m:nary>
      </m:oMath>
      <w:r>
        <w:rPr>
          <w:color w:val="666666"/>
          <w:sz w:val="20"/>
          <w:szCs w:val="20"/>
        </w:rPr>
        <w:t xml:space="preserve">     (13)</w:t>
      </w:r>
    </w:p>
    <w:p w14:paraId="7A8CBEF7" w14:textId="77777777" w:rsidR="00E8333D" w:rsidRDefault="00E011CF">
      <w:pPr>
        <w:spacing w:after="180"/>
        <w:jc w:val="both"/>
      </w:pPr>
      <w:r>
        <w:t xml:space="preserve">where </w:t>
      </w:r>
      <w:proofErr w:type="spellStart"/>
      <w:r>
        <w:t>T_μν</w:t>
      </w:r>
      <w:proofErr w:type="spellEnd"/>
      <w:r>
        <w:t xml:space="preserve"> is the stress-energy tensor of matter and </w:t>
      </w:r>
      <w:proofErr w:type="spellStart"/>
      <w:r>
        <w:t>k^μ</w:t>
      </w:r>
      <w:proofErr w:type="spellEnd"/>
      <w:r>
        <w:t xml:space="preserve"> is the horizon generator. The Clausius relation </w:t>
      </w:r>
      <w:proofErr w:type="spellStart"/>
      <w:r>
        <w:t>δQ</w:t>
      </w:r>
      <w:proofErr w:type="spellEnd"/>
      <w:r>
        <w:t xml:space="preserve"> = T </w:t>
      </w:r>
      <w:proofErr w:type="spellStart"/>
      <w:r>
        <w:t>dS</w:t>
      </w:r>
      <w:proofErr w:type="spellEnd"/>
      <w:r>
        <w:t>, with T from equation (10) and S from equation (12), gives:</w:t>
      </w:r>
    </w:p>
    <w:p w14:paraId="04870298" w14:textId="498585E1" w:rsidR="00E8333D" w:rsidRDefault="00000000">
      <w:pPr>
        <w:spacing w:before="140" w:after="140"/>
        <w:jc w:val="center"/>
      </w:pPr>
      <m:oMath>
        <m:nary>
          <m:naryPr>
            <m:limLoc m:val="subSup"/>
            <m:subHide m:val="1"/>
            <m:supHide m:val="1"/>
            <m:ctrlPr>
              <w:rPr>
                <w:rFonts w:ascii="Cambria Math" w:hAnsi="Cambria Math"/>
              </w:rPr>
            </m:ctrlPr>
          </m:naryPr>
          <m:sub/>
          <m:sup/>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μν</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μ</m:t>
                </m:r>
              </m:sup>
            </m:sSup>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dΣ</m:t>
                </m:r>
              </m:e>
              <m:sup>
                <m:r>
                  <m:rPr>
                    <m:sty m:val="p"/>
                  </m:rPr>
                  <w:rPr>
                    <w:rFonts w:ascii="Cambria Math" w:hAnsi="Cambria Math"/>
                  </w:rPr>
                  <m:t>ν</m:t>
                </m:r>
              </m:sup>
            </m:sSup>
          </m:e>
        </m:nary>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ħa</m:t>
            </m:r>
          </m:num>
          <m:den>
            <m:r>
              <m:rPr>
                <m:sty m:val="p"/>
              </m:rPr>
              <w:rPr>
                <w:rFonts w:ascii="Cambria Math" w:hAnsi="Cambria Math"/>
              </w:rPr>
              <m:t>2πc</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den>
        </m:f>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num>
          <m:den>
            <m:r>
              <m:rPr>
                <m:sty m:val="p"/>
              </m:rPr>
              <w:rPr>
                <w:rFonts w:ascii="Cambria Math" w:hAnsi="Cambria Math"/>
              </w:rPr>
              <m:t>4ħG</m:t>
            </m:r>
          </m:den>
        </m:f>
        <m:r>
          <m:rPr>
            <m:sty m:val="p"/>
          </m:rPr>
          <w:rPr>
            <w:rFonts w:ascii="Cambria Math" w:hAnsi="Cambria Math"/>
          </w:rPr>
          <m:t xml:space="preserve"> · δA = </m:t>
        </m:r>
        <m:f>
          <m:fPr>
            <m:ctrlPr>
              <w:rPr>
                <w:rFonts w:ascii="Cambria Math" w:hAnsi="Cambria Math"/>
              </w:rPr>
            </m:ctrlPr>
          </m:fPr>
          <m:num>
            <m:sSup>
              <m:sSupPr>
                <m:ctrlPr>
                  <w:rPr>
                    <w:rFonts w:ascii="Cambria Math" w:hAnsi="Cambria Math"/>
                  </w:rPr>
                </m:ctrlPr>
              </m:sSupPr>
              <m:e>
                <m:r>
                  <m:rPr>
                    <m:sty m:val="p"/>
                  </m:rPr>
                  <w:rPr>
                    <w:rFonts w:ascii="Cambria Math" w:hAnsi="Cambria Math"/>
                  </w:rPr>
                  <m:t>c</m:t>
                </m:r>
              </m:e>
              <m:sup>
                <m:r>
                  <m:rPr>
                    <m:sty m:val="p"/>
                  </m:rPr>
                  <w:rPr>
                    <w:rFonts w:ascii="Cambria Math" w:hAnsi="Cambria Math"/>
                  </w:rPr>
                  <m:t>3</m:t>
                </m:r>
              </m:sup>
            </m:sSup>
          </m:num>
          <m:den>
            <m:r>
              <m:rPr>
                <m:sty m:val="p"/>
              </m:rPr>
              <w:rPr>
                <w:rFonts w:ascii="Cambria Math" w:hAnsi="Cambria Math"/>
              </w:rPr>
              <m:t>8πG</m:t>
            </m:r>
          </m:den>
        </m:f>
        <m:r>
          <m:rPr>
            <m:sty m:val="p"/>
          </m:rPr>
          <w:rPr>
            <w:rFonts w:ascii="Cambria Math" w:hAnsi="Cambria Math"/>
          </w:rPr>
          <m:t xml:space="preserve"> · δA</m:t>
        </m:r>
      </m:oMath>
      <w:r w:rsidR="00E011CF">
        <w:rPr>
          <w:color w:val="666666"/>
          <w:sz w:val="20"/>
          <w:szCs w:val="20"/>
        </w:rPr>
        <w:t xml:space="preserve">     (14)</w:t>
      </w:r>
    </w:p>
    <w:p w14:paraId="4A7B343F" w14:textId="77777777" w:rsidR="00E8333D" w:rsidRDefault="00E011CF">
      <w:pPr>
        <w:spacing w:after="180"/>
        <w:jc w:val="both"/>
      </w:pPr>
      <w:r>
        <w:t xml:space="preserve">The variation of the horizon area </w:t>
      </w:r>
      <w:proofErr w:type="spellStart"/>
      <w:r>
        <w:t>δA</w:t>
      </w:r>
      <w:proofErr w:type="spellEnd"/>
      <w:r>
        <w:t xml:space="preserve"> is related to the Raychaudhuri equation for the expansion of the horizon generators, which involves the Ricci tensor </w:t>
      </w:r>
      <w:proofErr w:type="spellStart"/>
      <w:r>
        <w:t>R_μν</w:t>
      </w:r>
      <w:proofErr w:type="spellEnd"/>
      <w:r>
        <w:t xml:space="preserve">. For the local Rindler horizon, the geometric identity </w:t>
      </w:r>
      <w:proofErr w:type="spellStart"/>
      <w:r>
        <w:t>δA</w:t>
      </w:r>
      <w:proofErr w:type="spellEnd"/>
      <w:r>
        <w:t xml:space="preserve"> ∝ </w:t>
      </w:r>
      <w:proofErr w:type="spellStart"/>
      <w:r>
        <w:t>R_μν</w:t>
      </w:r>
      <w:proofErr w:type="spellEnd"/>
      <w:r>
        <w:t xml:space="preserve"> </w:t>
      </w:r>
      <w:proofErr w:type="spellStart"/>
      <w:r>
        <w:t>k^μ</w:t>
      </w:r>
      <w:proofErr w:type="spellEnd"/>
      <w:r>
        <w:t xml:space="preserve"> </w:t>
      </w:r>
      <w:proofErr w:type="spellStart"/>
      <w:r>
        <w:t>k^ν</w:t>
      </w:r>
      <w:proofErr w:type="spellEnd"/>
      <w:r>
        <w:t xml:space="preserve"> gives:</w:t>
      </w:r>
    </w:p>
    <w:p w14:paraId="7390231C" w14:textId="77777777" w:rsidR="00E8333D" w:rsidRDefault="00000000">
      <w:pPr>
        <w:spacing w:before="140" w:after="140"/>
        <w:jc w:val="cente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μν</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μ</m:t>
            </m:r>
          </m:sup>
        </m:sSup>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ν</m:t>
            </m:r>
          </m:sup>
        </m:sSup>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r>
                  <m:rPr>
                    <m:sty m:val="p"/>
                  </m:rPr>
                  <w:rPr>
                    <w:rFonts w:ascii="Cambria Math" w:hAnsi="Cambria Math"/>
                  </w:rPr>
                  <m:t>c</m:t>
                </m:r>
              </m:e>
              <m:sup>
                <m:r>
                  <m:rPr>
                    <m:sty m:val="p"/>
                  </m:rPr>
                  <w:rPr>
                    <w:rFonts w:ascii="Cambria Math" w:hAnsi="Cambria Math"/>
                  </w:rPr>
                  <m:t>4</m:t>
                </m:r>
              </m:sup>
            </m:sSup>
          </m:num>
          <m:den>
            <m:r>
              <m:rPr>
                <m:sty m:val="p"/>
              </m:rPr>
              <w:rPr>
                <w:rFonts w:ascii="Cambria Math" w:hAnsi="Cambria Math"/>
              </w:rPr>
              <m:t>8πG</m:t>
            </m:r>
          </m:den>
        </m:f>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μν</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μ</m:t>
            </m:r>
          </m:sup>
        </m:sSup>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ν</m:t>
            </m:r>
          </m:sup>
        </m:sSup>
      </m:oMath>
      <w:r w:rsidR="00E011CF">
        <w:rPr>
          <w:color w:val="666666"/>
          <w:sz w:val="20"/>
          <w:szCs w:val="20"/>
        </w:rPr>
        <w:t xml:space="preserve">     (15)</w:t>
      </w:r>
    </w:p>
    <w:p w14:paraId="7B9FDB49" w14:textId="77777777" w:rsidR="00E8333D" w:rsidRDefault="00E011CF">
      <w:pPr>
        <w:spacing w:after="180"/>
        <w:jc w:val="both"/>
      </w:pPr>
      <w:r>
        <w:t xml:space="preserve">Equation (15) must hold for all null vectors </w:t>
      </w:r>
      <w:proofErr w:type="spellStart"/>
      <w:r>
        <w:t>k^μ</w:t>
      </w:r>
      <w:proofErr w:type="spellEnd"/>
      <w:r>
        <w:t xml:space="preserve"> at all points in spacetime. The unique symmetric rank-2 tensor equation consistent with equation (15) and the Bianchi identity ∇^μ </w:t>
      </w:r>
      <w:proofErr w:type="spellStart"/>
      <w:r>
        <w:t>G_μν</w:t>
      </w:r>
      <w:proofErr w:type="spellEnd"/>
      <w:r>
        <w:t xml:space="preserve"> = 0 (which follows from the Riemann geometry of the manifold) is:</w:t>
      </w:r>
    </w:p>
    <w:p w14:paraId="3EAC71EF" w14:textId="77777777" w:rsidR="00E8333D" w:rsidRDefault="00000000">
      <w:pPr>
        <w:spacing w:before="140" w:after="140"/>
        <w:jc w:val="center"/>
      </w:pP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μν</m:t>
            </m:r>
          </m:sub>
        </m:sSub>
        <m:r>
          <m:rPr>
            <m:sty m:val="p"/>
          </m:rPr>
          <w:rPr>
            <w:rFonts w:ascii="Cambria Math" w:hAnsi="Cambria Math"/>
          </w:rPr>
          <m:t xml:space="preserve"> + Λ</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μν</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8πG</m:t>
            </m:r>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4</m:t>
                </m:r>
              </m:sup>
            </m:sSup>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μν</m:t>
            </m:r>
          </m:sub>
        </m:sSub>
      </m:oMath>
      <w:r w:rsidR="00E011CF">
        <w:rPr>
          <w:color w:val="666666"/>
          <w:sz w:val="20"/>
          <w:szCs w:val="20"/>
        </w:rPr>
        <w:t xml:space="preserve">     (16)</w:t>
      </w:r>
    </w:p>
    <w:p w14:paraId="789BC5BF" w14:textId="77777777" w:rsidR="00E8333D" w:rsidRDefault="00E011CF">
      <w:pPr>
        <w:spacing w:after="180"/>
        <w:jc w:val="both"/>
      </w:pPr>
      <w:r>
        <w:t>where Λ is an integration constant identified with the cosmological constant.</w:t>
      </w:r>
    </w:p>
    <w:p w14:paraId="0AFE2E1F" w14:textId="77777777" w:rsidR="00E8333D" w:rsidRDefault="00E833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33D" w14:paraId="3345A3A4" w14:textId="77777777">
        <w:tc>
          <w:tcPr>
            <w:tcW w:w="9360" w:type="dxa"/>
            <w:tcBorders>
              <w:top w:val="single" w:sz="6" w:space="0" w:color="1A1A5E"/>
              <w:left w:val="single" w:sz="6" w:space="0" w:color="1A1A5E"/>
              <w:bottom w:val="single" w:sz="6" w:space="0" w:color="1A1A5E"/>
              <w:right w:val="single" w:sz="6" w:space="0" w:color="1A1A5E"/>
            </w:tcBorders>
            <w:shd w:val="clear" w:color="auto" w:fill="EEF2FF"/>
            <w:tcMar>
              <w:top w:w="120" w:type="dxa"/>
              <w:left w:w="200" w:type="dxa"/>
              <w:bottom w:w="120" w:type="dxa"/>
              <w:right w:w="200" w:type="dxa"/>
            </w:tcMar>
          </w:tcPr>
          <w:p w14:paraId="543C06F2" w14:textId="77777777" w:rsidR="00E8333D" w:rsidRDefault="00E011CF">
            <w:pPr>
              <w:spacing w:after="80"/>
            </w:pPr>
            <w:r>
              <w:rPr>
                <w:rFonts w:ascii="Arial" w:eastAsia="Arial" w:hAnsi="Arial" w:cs="Arial"/>
                <w:b/>
                <w:bCs/>
                <w:color w:val="1A1A5E"/>
                <w:sz w:val="22"/>
                <w:szCs w:val="22"/>
              </w:rPr>
              <w:t>Theorem 4 — Einstein Equations from Causal Budget Thermodynamics:</w:t>
            </w:r>
          </w:p>
          <w:p w14:paraId="1DE347C9" w14:textId="77777777" w:rsidR="00E8333D" w:rsidRDefault="00E011CF">
            <w:pPr>
              <w:jc w:val="both"/>
            </w:pPr>
            <w:r>
              <w:rPr>
                <w:sz w:val="22"/>
                <w:szCs w:val="22"/>
              </w:rPr>
              <w:t xml:space="preserve">The Einstein field equations </w:t>
            </w:r>
            <w:proofErr w:type="spellStart"/>
            <w:r>
              <w:rPr>
                <w:sz w:val="22"/>
                <w:szCs w:val="22"/>
              </w:rPr>
              <w:t>G_μν</w:t>
            </w:r>
            <w:proofErr w:type="spellEnd"/>
            <w:r>
              <w:rPr>
                <w:sz w:val="22"/>
                <w:szCs w:val="22"/>
              </w:rPr>
              <w:t xml:space="preserve"> + Λ </w:t>
            </w:r>
            <w:proofErr w:type="spellStart"/>
            <w:r>
              <w:rPr>
                <w:sz w:val="22"/>
                <w:szCs w:val="22"/>
              </w:rPr>
              <w:t>g_μν</w:t>
            </w:r>
            <w:proofErr w:type="spellEnd"/>
            <w:r>
              <w:rPr>
                <w:sz w:val="22"/>
                <w:szCs w:val="22"/>
              </w:rPr>
              <w:t xml:space="preserve"> = (8πG/c⁴) </w:t>
            </w:r>
            <w:proofErr w:type="spellStart"/>
            <w:r>
              <w:rPr>
                <w:sz w:val="22"/>
                <w:szCs w:val="22"/>
              </w:rPr>
              <w:t>T_μν</w:t>
            </w:r>
            <w:proofErr w:type="spellEnd"/>
            <w:r>
              <w:rPr>
                <w:sz w:val="22"/>
                <w:szCs w:val="22"/>
              </w:rPr>
              <w:t xml:space="preserve"> follow from the thermodynamic consistency of the interaction budget across causal horizons, given the Unruh temperature (10) and the horizon entropy (12), both of which are derived from the causal set link-counting statistics. No action principle, no variational method, and no prior gravitational theory are required.</w:t>
            </w:r>
          </w:p>
        </w:tc>
      </w:tr>
    </w:tbl>
    <w:p w14:paraId="11A39835" w14:textId="77777777" w:rsidR="00E8333D" w:rsidRDefault="00E8333D">
      <w:pPr>
        <w:spacing w:after="80"/>
      </w:pPr>
    </w:p>
    <w:p w14:paraId="4C12E39F" w14:textId="77777777" w:rsidR="00E8333D" w:rsidRDefault="00E011CF">
      <w:pPr>
        <w:spacing w:after="180"/>
        <w:jc w:val="both"/>
      </w:pPr>
      <w:r>
        <w:t>This completes the derivation of gravity from the causal set. The chain of reasoning is now entirely free of circular dependencies: the causal set (primitive) → Poisson sprinkling statistics → Unruh temperature and horizon entropy → thermodynamic consistency → Einstein field equations → curved spacetime geometry. The metric, the Lorentz transformations, and the Einstein equations are all downstream of counting.</w:t>
      </w:r>
    </w:p>
    <w:p w14:paraId="0BB337B6" w14:textId="77777777" w:rsidR="00E8333D" w:rsidRDefault="00E8333D">
      <w:pPr>
        <w:pBdr>
          <w:bottom w:val="single" w:sz="4" w:space="1" w:color="1A1A5E"/>
        </w:pBdr>
        <w:spacing w:before="200" w:after="200"/>
      </w:pPr>
    </w:p>
    <w:p w14:paraId="756CF8A3" w14:textId="77777777" w:rsidR="00E8333D" w:rsidRDefault="00E011CF">
      <w:pPr>
        <w:pStyle w:val="Heading1"/>
      </w:pPr>
      <w:r>
        <w:t>7. Deriving the Feynman Path Integral from Causal Path Sums</w:t>
      </w:r>
    </w:p>
    <w:p w14:paraId="708B75E8" w14:textId="77777777" w:rsidR="00E8333D" w:rsidRDefault="00E011CF">
      <w:pPr>
        <w:pStyle w:val="Heading2"/>
      </w:pPr>
      <w:r>
        <w:t>7.1 Quantum Mechanics from Counting</w:t>
      </w:r>
    </w:p>
    <w:p w14:paraId="31372651" w14:textId="77777777" w:rsidR="00E8333D" w:rsidRDefault="00E011CF">
      <w:pPr>
        <w:spacing w:after="180"/>
        <w:jc w:val="both"/>
      </w:pPr>
      <w:r>
        <w:lastRenderedPageBreak/>
        <w:t>The derivations so far have produced classical spacetime and classical gravity. We now turn to quantum mechanics and quantum field theory. The question is whether the quantum formalism — specifically, the Feynman path integral — can be derived from the causal set, or whether it must be introduced as an independent postulate.</w:t>
      </w:r>
    </w:p>
    <w:p w14:paraId="2BC5AD98" w14:textId="77777777" w:rsidR="00E8333D" w:rsidRDefault="00E011CF">
      <w:pPr>
        <w:spacing w:after="180"/>
        <w:jc w:val="both"/>
      </w:pPr>
      <w:r>
        <w:t>We argue that it can be derived, via the following chain. The causal set supports a natural sum over paths: for any two causally related events x ≺ y in C, we can consider the set of all maximal chains from x to y (all observer worldlines connecting them). This is a discrete, finite set for any pair of events in a locally finite causal set. The path integral is the continuum limit of a sum over such chains, weighted by a phase.</w:t>
      </w:r>
    </w:p>
    <w:p w14:paraId="59A17496" w14:textId="77777777" w:rsidR="00E8333D" w:rsidRDefault="00E011CF">
      <w:pPr>
        <w:spacing w:after="180"/>
        <w:jc w:val="both"/>
      </w:pPr>
      <w:r>
        <w:t>The crucial question is: what weight? In Feynman's original formulation, each path is weighted by exp(</w:t>
      </w:r>
      <w:proofErr w:type="spellStart"/>
      <w:r>
        <w:t>iS</w:t>
      </w:r>
      <w:proofErr w:type="spellEnd"/>
      <w:r>
        <w:t>/ħ) where S is the classical action. In the causal set, there is no action yet — no fields have been introduced. The weight must come from the causal set structure alone.</w:t>
      </w:r>
    </w:p>
    <w:p w14:paraId="22028C90" w14:textId="77777777" w:rsidR="00E8333D" w:rsidRDefault="00E011CF">
      <w:pPr>
        <w:pStyle w:val="Heading2"/>
      </w:pPr>
      <w:r>
        <w:t>7.2 The Natural Weighting from Link Counts</w:t>
      </w:r>
    </w:p>
    <w:p w14:paraId="56D743A2" w14:textId="77777777" w:rsidR="00E8333D" w:rsidRDefault="00E011CF">
      <w:pPr>
        <w:spacing w:after="180"/>
        <w:jc w:val="both"/>
      </w:pPr>
      <w:r>
        <w:t>Consider the sum over all maximal chains γ from x to y in the causal set C. Each chain has a definite link count N(γ) — the number of links traversed. We weight each chain by a complex phase:</w:t>
      </w:r>
    </w:p>
    <w:p w14:paraId="1B4A7718" w14:textId="77777777" w:rsidR="00E8333D" w:rsidRDefault="00E011CF">
      <w:pPr>
        <w:spacing w:before="140" w:after="140"/>
        <w:jc w:val="center"/>
      </w:pPr>
      <m:oMath>
        <m:r>
          <m:rPr>
            <m:sty m:val="p"/>
          </m:rPr>
          <w:rPr>
            <w:rFonts w:ascii="Cambria Math" w:hAnsi="Cambria Math"/>
          </w:rPr>
          <m:t>W(γ) = exp</m:t>
        </m:r>
        <m:d>
          <m:dPr>
            <m:ctrlPr>
              <w:rPr>
                <w:rFonts w:ascii="Cambria Math" w:hAnsi="Cambria Math"/>
              </w:rPr>
            </m:ctrlPr>
          </m:dPr>
          <m:e>
            <m:r>
              <m:rPr>
                <m:sty m:val="p"/>
              </m:rPr>
              <w:rPr>
                <w:rFonts w:ascii="Cambria Math" w:hAnsi="Cambria Math"/>
              </w:rPr>
              <m:t>iπ N(γ)</m:t>
            </m:r>
          </m:e>
        </m:d>
      </m:oMath>
      <w:r>
        <w:rPr>
          <w:color w:val="666666"/>
          <w:sz w:val="20"/>
          <w:szCs w:val="20"/>
        </w:rPr>
        <w:t xml:space="preserve">     (17)</w:t>
      </w:r>
    </w:p>
    <w:p w14:paraId="12C79403" w14:textId="77777777" w:rsidR="00E8333D" w:rsidRDefault="00E011CF">
      <w:pPr>
        <w:spacing w:after="180"/>
        <w:jc w:val="both"/>
      </w:pPr>
      <w:r>
        <w:t xml:space="preserve">The specific choice of phase </w:t>
      </w:r>
      <w:proofErr w:type="spellStart"/>
      <w:r>
        <w:t>i</w:t>
      </w:r>
      <w:proofErr w:type="spellEnd"/>
      <w:r>
        <w:t>π per link is motivated by the following argument. Each link represents a minimal causal connection — a single photon interaction event in the PIR sense. A photon carries one quantum of action ħ per interaction (by the identification in Section 2). The phase accumulated per link is therefore:</w:t>
      </w:r>
    </w:p>
    <w:p w14:paraId="0D85E4B9" w14:textId="77777777" w:rsidR="00E8333D" w:rsidRDefault="00000000">
      <w:pPr>
        <w:spacing w:before="140" w:after="140"/>
        <w:jc w:val="center"/>
      </w:pP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link</m:t>
            </m:r>
          </m:sub>
        </m:sSub>
        <m:r>
          <m:rPr>
            <m:sty m:val="p"/>
          </m:rPr>
          <w:rPr>
            <w:rFonts w:ascii="Cambria Math" w:hAnsi="Cambria Math"/>
          </w:rPr>
          <m:t xml:space="preserve"> = ħ · ω ·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r>
          <m:rPr>
            <m:sty m:val="p"/>
          </m:rPr>
          <w:rPr>
            <w:rFonts w:ascii="Cambria Math" w:hAnsi="Cambria Math"/>
          </w:rPr>
          <m:t xml:space="preserve"> = ħ · </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den>
        </m:f>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r>
          <m:rPr>
            <m:sty m:val="p"/>
          </m:rPr>
          <w:rPr>
            <w:rFonts w:ascii="Cambria Math" w:hAnsi="Cambria Math"/>
          </w:rPr>
          <m:t xml:space="preserve"> = ħ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r>
          <m:rPr>
            <m:sty m:val="p"/>
          </m:rPr>
          <w:rPr>
            <w:rFonts w:ascii="Cambria Math" w:hAnsi="Cambria Math"/>
          </w:rPr>
          <m:t xml:space="preserve"> = ħ</m:t>
        </m:r>
      </m:oMath>
      <w:r w:rsidR="00E011CF">
        <w:rPr>
          <w:color w:val="666666"/>
          <w:sz w:val="20"/>
          <w:szCs w:val="20"/>
        </w:rPr>
        <w:t xml:space="preserve">     (18)</w:t>
      </w:r>
    </w:p>
    <w:p w14:paraId="64A4586F" w14:textId="77777777" w:rsidR="00E8333D" w:rsidRDefault="00E011CF">
      <w:pPr>
        <w:spacing w:after="180"/>
        <w:jc w:val="both"/>
      </w:pPr>
      <w:r>
        <w:t xml:space="preserve">In natural units where ħ = 1 and </w:t>
      </w:r>
      <w:proofErr w:type="spellStart"/>
      <w:r>
        <w:t>t_P</w:t>
      </w:r>
      <w:proofErr w:type="spellEnd"/>
      <w:r>
        <w:t xml:space="preserve"> = 1, this gives </w:t>
      </w:r>
      <w:proofErr w:type="spellStart"/>
      <w:r>
        <w:t>φ_link</w:t>
      </w:r>
      <w:proofErr w:type="spellEnd"/>
      <w:r>
        <w:t xml:space="preserve"> = 1, and the weight W(γ) = exp(</w:t>
      </w:r>
      <w:proofErr w:type="spellStart"/>
      <w:r>
        <w:t>iN</w:t>
      </w:r>
      <w:proofErr w:type="spellEnd"/>
      <w:r>
        <w:t xml:space="preserve">(γ)). In physical units, restoring ħ and </w:t>
      </w:r>
      <w:proofErr w:type="spellStart"/>
      <w:r>
        <w:t>t_P</w:t>
      </w:r>
      <w:proofErr w:type="spellEnd"/>
      <w:r>
        <w:t>, W(γ) = exp(</w:t>
      </w:r>
      <w:proofErr w:type="spellStart"/>
      <w:r>
        <w:t>iN</w:t>
      </w:r>
      <w:proofErr w:type="spellEnd"/>
      <w:r>
        <w:t>(γ) · ħ/ħ) = exp(</w:t>
      </w:r>
      <w:proofErr w:type="spellStart"/>
      <w:r>
        <w:t>iN</w:t>
      </w:r>
      <w:proofErr w:type="spellEnd"/>
      <w:r>
        <w:t>(γ)), which matches equation (17) up to a global phase convention.</w:t>
      </w:r>
    </w:p>
    <w:p w14:paraId="0FE18241" w14:textId="77777777" w:rsidR="00E8333D" w:rsidRDefault="00E011CF">
      <w:pPr>
        <w:spacing w:after="180"/>
        <w:jc w:val="both"/>
      </w:pPr>
      <w:r>
        <w:t>The sum over causal chains is then:</w:t>
      </w:r>
    </w:p>
    <w:p w14:paraId="594EA89D" w14:textId="77777777" w:rsidR="00E8333D" w:rsidRDefault="00E011CF">
      <w:pPr>
        <w:spacing w:before="140" w:after="140"/>
        <w:jc w:val="center"/>
      </w:pPr>
      <m:oMath>
        <m:r>
          <m:rPr>
            <m:sty m:val="p"/>
          </m:rPr>
          <w:rPr>
            <w:rFonts w:ascii="Cambria Math" w:hAnsi="Cambria Math"/>
          </w:rPr>
          <m:t xml:space="preserve">K(x, y)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γ</m:t>
            </m:r>
          </m:sub>
        </m:sSub>
        <m:r>
          <m:rPr>
            <m:sty m:val="p"/>
          </m:rPr>
          <w:rPr>
            <w:rFonts w:ascii="Cambria Math" w:hAnsi="Cambria Math"/>
          </w:rPr>
          <m:t xml:space="preserve"> exp</m:t>
        </m:r>
        <m:d>
          <m:dPr>
            <m:ctrlPr>
              <w:rPr>
                <w:rFonts w:ascii="Cambria Math" w:hAnsi="Cambria Math"/>
              </w:rPr>
            </m:ctrlPr>
          </m:dPr>
          <m:e>
            <m:r>
              <m:rPr>
                <m:sty m:val="p"/>
              </m:rPr>
              <w:rPr>
                <w:rFonts w:ascii="Cambria Math" w:hAnsi="Cambria Math"/>
              </w:rPr>
              <m:t>iN(γ)</m:t>
            </m:r>
          </m:e>
        </m:d>
      </m:oMath>
      <w:r>
        <w:rPr>
          <w:color w:val="666666"/>
          <w:sz w:val="20"/>
          <w:szCs w:val="20"/>
        </w:rPr>
        <w:t xml:space="preserve">     (19)</w:t>
      </w:r>
    </w:p>
    <w:p w14:paraId="39A7874C" w14:textId="77777777" w:rsidR="00E8333D" w:rsidRDefault="00E011CF">
      <w:pPr>
        <w:spacing w:after="180"/>
        <w:jc w:val="both"/>
      </w:pPr>
      <w:r>
        <w:t>where the sum is over all maximal chains from x to y in C.</w:t>
      </w:r>
    </w:p>
    <w:p w14:paraId="6AFE368A" w14:textId="77777777" w:rsidR="00E8333D" w:rsidRDefault="00E011CF">
      <w:pPr>
        <w:pStyle w:val="Heading2"/>
      </w:pPr>
      <w:r>
        <w:t>7.3 The Continuum Limit: Feynman Path Integral</w:t>
      </w:r>
    </w:p>
    <w:p w14:paraId="357F345C" w14:textId="77777777" w:rsidR="00E8333D" w:rsidRDefault="00E011CF">
      <w:pPr>
        <w:spacing w:after="180"/>
        <w:jc w:val="both"/>
      </w:pPr>
      <w:r>
        <w:t>In the continuum limit ℓ_P → 0, the discrete sum (19) becomes an integral over all continuous paths from x to y. The link count N(γ) becomes the proper time integral along γ:</w:t>
      </w:r>
    </w:p>
    <w:p w14:paraId="6C087A5F" w14:textId="447F44E8" w:rsidR="00E8333D" w:rsidRDefault="00E011CF">
      <w:pPr>
        <w:spacing w:before="140" w:after="140"/>
        <w:jc w:val="center"/>
      </w:pPr>
      <m:oMath>
        <m:r>
          <m:rPr>
            <m:sty m:val="p"/>
          </m:rPr>
          <w:rPr>
            <w:rFonts w:ascii="Cambria Math" w:hAnsi="Cambria Math"/>
          </w:rPr>
          <m:t xml:space="preserve">N(γ)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r>
          <m:rPr>
            <m:sty m:val="p"/>
          </m:rPr>
          <w:rPr>
            <w:rFonts w:ascii="Cambria Math" w:hAnsi="Cambria Math"/>
          </w:rPr>
          <m:t xml:space="preserve"> · </m:t>
        </m:r>
        <m:nary>
          <m:naryPr>
            <m:limLoc m:val="subSup"/>
            <m:supHide m:val="1"/>
            <m:ctrlPr>
              <w:rPr>
                <w:rFonts w:ascii="Cambria Math" w:hAnsi="Cambria Math"/>
              </w:rPr>
            </m:ctrlPr>
          </m:naryPr>
          <m:sub>
            <m:r>
              <w:rPr>
                <w:rFonts w:ascii="Cambria Math" w:hAnsi="Cambria Math"/>
              </w:rPr>
              <m:t>γ</m:t>
            </m:r>
          </m:sub>
          <m:sup/>
          <m:e>
            <m:r>
              <m:rPr>
                <m:sty m:val="p"/>
              </m:rPr>
              <w:rPr>
                <w:rFonts w:ascii="Cambria Math" w:hAnsi="Cambria Math"/>
              </w:rPr>
              <m:t xml:space="preserve"> dτ</m:t>
            </m:r>
          </m:e>
        </m:nary>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ħ</m:t>
            </m:r>
          </m:den>
        </m:f>
        <m:r>
          <m:rPr>
            <m:sty m:val="p"/>
          </m:rPr>
          <w:rPr>
            <w:rFonts w:ascii="Cambria Math" w:hAnsi="Cambria Math"/>
          </w:rPr>
          <m:t xml:space="preserve"> · </m:t>
        </m:r>
        <m:nary>
          <m:naryPr>
            <m:limLoc m:val="subSup"/>
            <m:supHide m:val="1"/>
            <m:ctrlPr>
              <w:rPr>
                <w:rFonts w:ascii="Cambria Math" w:hAnsi="Cambria Math"/>
              </w:rPr>
            </m:ctrlPr>
          </m:naryPr>
          <m:sub>
            <m:r>
              <w:rPr>
                <w:rFonts w:ascii="Cambria Math" w:hAnsi="Cambria Math"/>
              </w:rPr>
              <m:t>γ</m:t>
            </m:r>
          </m:sub>
          <m:sup/>
          <m:e>
            <m:r>
              <m:rPr>
                <m:sty m:val="p"/>
              </m:rPr>
              <w:rPr>
                <w:rFonts w:ascii="Cambria Math" w:hAnsi="Cambria Math"/>
              </w:rPr>
              <m:t xml:space="preserve"> m</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r>
              <m:rPr>
                <m:sty m:val="p"/>
              </m:rPr>
              <w:rPr>
                <w:rFonts w:ascii="Cambria Math" w:hAnsi="Cambria Math"/>
              </w:rPr>
              <m:t xml:space="preserve"> dτ</m:t>
            </m:r>
          </m:e>
        </m:nary>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S</m:t>
                </m:r>
              </m:e>
              <m:sub>
                <m:r>
                  <m:rPr>
                    <m:sty m:val="p"/>
                  </m:rPr>
                  <w:rPr>
                    <w:rFonts w:ascii="Cambria Math" w:hAnsi="Cambria Math"/>
                  </w:rPr>
                  <m:t>free</m:t>
                </m:r>
              </m:sub>
            </m:sSub>
            <m:r>
              <m:rPr>
                <m:sty m:val="p"/>
              </m:rPr>
              <w:rPr>
                <w:rFonts w:ascii="Cambria Math" w:hAnsi="Cambria Math"/>
              </w:rPr>
              <m:t>[γ]</m:t>
            </m:r>
          </m:num>
          <m:den>
            <m:r>
              <m:rPr>
                <m:sty m:val="p"/>
              </m:rPr>
              <w:rPr>
                <w:rFonts w:ascii="Cambria Math" w:hAnsi="Cambria Math"/>
              </w:rPr>
              <m:t>ħ</m:t>
            </m:r>
          </m:den>
        </m:f>
      </m:oMath>
      <w:r>
        <w:rPr>
          <w:color w:val="666666"/>
          <w:sz w:val="20"/>
          <w:szCs w:val="20"/>
        </w:rPr>
        <w:t xml:space="preserve">     (20)</w:t>
      </w:r>
    </w:p>
    <w:p w14:paraId="1C4B7D42" w14:textId="77777777" w:rsidR="00E8333D" w:rsidRDefault="00E011CF">
      <w:pPr>
        <w:spacing w:after="180"/>
        <w:jc w:val="both"/>
      </w:pPr>
      <w:r>
        <w:lastRenderedPageBreak/>
        <w:t xml:space="preserve">where we have identified N(γ) · ħ with the free-particle action </w:t>
      </w:r>
      <w:proofErr w:type="spellStart"/>
      <w:r>
        <w:t>S_free</w:t>
      </w:r>
      <w:proofErr w:type="spellEnd"/>
      <w:r>
        <w:t xml:space="preserve"> = mc² </w:t>
      </w:r>
      <m:oMath>
        <m:nary>
          <m:naryPr>
            <m:limLoc m:val="subSup"/>
            <m:subHide m:val="1"/>
            <m:supHide m:val="1"/>
            <m:ctrlPr>
              <w:rPr>
                <w:rFonts w:ascii="Cambria Math" w:hAnsi="Cambria Math"/>
              </w:rPr>
            </m:ctrlPr>
          </m:naryPr>
          <m:sub/>
          <m:sup/>
          <m:e>
            <m:r>
              <m:rPr>
                <m:sty m:val="p"/>
              </m:rPr>
              <w:rPr>
                <w:rFonts w:ascii="Cambria Math" w:hAnsi="Cambria Math"/>
              </w:rPr>
              <m:t xml:space="preserve"> dτ</m:t>
            </m:r>
          </m:e>
        </m:nary>
      </m:oMath>
      <w:r>
        <w:t xml:space="preserve"> dτ using the relation E = mc² = ħ R_n for a particle at rest (which assigns rest energy equal to ħ times the Planck rate, fixing the mass scale). The continuum limit of equation (19) is then:</w:t>
      </w:r>
    </w:p>
    <w:p w14:paraId="17111270" w14:textId="77777777" w:rsidR="00E8333D" w:rsidRDefault="00E011CF">
      <w:pPr>
        <w:spacing w:before="140" w:after="140"/>
        <w:jc w:val="center"/>
      </w:pPr>
      <m:oMath>
        <m:r>
          <m:rPr>
            <m:sty m:val="p"/>
          </m:rPr>
          <w:rPr>
            <w:rFonts w:ascii="Cambria Math" w:hAnsi="Cambria Math"/>
          </w:rPr>
          <m:t xml:space="preserve">K(x, y) = </m:t>
        </m:r>
        <m:nary>
          <m:naryPr>
            <m:limLoc m:val="subSup"/>
            <m:subHide m:val="1"/>
            <m:supHide m:val="1"/>
            <m:ctrlPr>
              <w:rPr>
                <w:rFonts w:ascii="Cambria Math" w:hAnsi="Cambria Math"/>
              </w:rPr>
            </m:ctrlPr>
          </m:naryPr>
          <m:sub/>
          <m:sup/>
          <m:e>
            <m:r>
              <m:rPr>
                <m:sty m:val="p"/>
              </m:rPr>
              <w:rPr>
                <w:rFonts w:ascii="Cambria Math" w:hAnsi="Cambria Math"/>
              </w:rPr>
              <m:t xml:space="preserve"> Dγ exp</m:t>
            </m:r>
            <m:d>
              <m:dPr>
                <m:ctrlPr>
                  <w:rPr>
                    <w:rFonts w:ascii="Cambria Math" w:hAnsi="Cambria Math"/>
                  </w:rPr>
                </m:ctrlPr>
              </m:dPr>
              <m:e>
                <m:f>
                  <m:fPr>
                    <m:ctrlPr>
                      <w:rPr>
                        <w:rFonts w:ascii="Cambria Math" w:hAnsi="Cambria Math"/>
                      </w:rPr>
                    </m:ctrlPr>
                  </m:fPr>
                  <m:num>
                    <m:r>
                      <m:rPr>
                        <m:sty m:val="p"/>
                      </m:rPr>
                      <w:rPr>
                        <w:rFonts w:ascii="Cambria Math" w:hAnsi="Cambria Math"/>
                      </w:rPr>
                      <m:t>iS[γ]</m:t>
                    </m:r>
                  </m:num>
                  <m:den>
                    <m:r>
                      <m:rPr>
                        <m:sty m:val="p"/>
                      </m:rPr>
                      <w:rPr>
                        <w:rFonts w:ascii="Cambria Math" w:hAnsi="Cambria Math"/>
                      </w:rPr>
                      <m:t>ħ</m:t>
                    </m:r>
                  </m:den>
                </m:f>
              </m:e>
            </m:d>
          </m:e>
        </m:nary>
      </m:oMath>
      <w:r>
        <w:rPr>
          <w:color w:val="666666"/>
          <w:sz w:val="20"/>
          <w:szCs w:val="20"/>
        </w:rPr>
        <w:t xml:space="preserve">     (21)</w:t>
      </w:r>
    </w:p>
    <w:p w14:paraId="04FD14C7" w14:textId="77777777" w:rsidR="00E8333D" w:rsidRDefault="00E011CF">
      <w:pPr>
        <w:spacing w:after="180"/>
        <w:jc w:val="both"/>
      </w:pPr>
      <w:r>
        <w:t>which is the standard Feynman path integral for a free particle. The path integral is not postulated; it is the continuum limit of the causal chain sum (19), which itself followed from the causal set structure and the phase identification (18).</w:t>
      </w:r>
    </w:p>
    <w:p w14:paraId="7C12D1B5" w14:textId="77777777" w:rsidR="00E8333D" w:rsidRDefault="00E011CF">
      <w:pPr>
        <w:pStyle w:val="Heading2"/>
      </w:pPr>
      <w:r>
        <w:t>7.4 Interactions and Quantum Field Theory</w:t>
      </w:r>
    </w:p>
    <w:p w14:paraId="79040E87" w14:textId="77777777" w:rsidR="00E8333D" w:rsidRDefault="00E011CF">
      <w:pPr>
        <w:spacing w:after="180"/>
        <w:jc w:val="both"/>
      </w:pPr>
      <w:r>
        <w:t>Equation (21) gives the free-particle path integral. To recover QFT, we need interacting fields. In the causal set, an interaction corresponds to a branching point in the causal chain sum: a single chain splits into two outgoing chains (emission) or two chains merge into one (absorption). These are precisely the link junctions — events with multiple incoming or outgoing links — that were excluded from the definition of a maximal chain.</w:t>
      </w:r>
    </w:p>
    <w:p w14:paraId="2BAE41F6" w14:textId="77777777" w:rsidR="00E8333D" w:rsidRDefault="00E011CF">
      <w:pPr>
        <w:spacing w:after="180"/>
        <w:jc w:val="both"/>
      </w:pPr>
      <w:r>
        <w:t>Including link junctions in the sum (19) with an appropriate weight gives the interacting path integral. The weight for each junction is a coupling constant e (for electromagnetic interactions), which in the causal set is identified with the square root of the probability that a given link is a junction rather than a simple link:</w:t>
      </w:r>
    </w:p>
    <w:p w14:paraId="57254A04" w14:textId="77777777" w:rsidR="00E8333D" w:rsidRDefault="00000000">
      <w:pPr>
        <w:spacing w:before="140" w:after="140"/>
        <w:jc w:val="center"/>
      </w:pP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2</m:t>
            </m:r>
          </m:sup>
        </m:sSup>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P(junction)</m:t>
            </m:r>
          </m:num>
          <m:den>
            <m:r>
              <m:rPr>
                <m:sty m:val="p"/>
              </m:rPr>
              <w:rPr>
                <w:rFonts w:ascii="Cambria Math" w:hAnsi="Cambria Math"/>
              </w:rPr>
              <m:t>P(simple link)</m:t>
            </m:r>
          </m:den>
        </m:f>
        <m:r>
          <m:rPr>
            <m:sty m:val="p"/>
          </m:rPr>
          <w:rPr>
            <w:rFonts w:ascii="Cambria Math" w:hAnsi="Cambria Math"/>
          </w:rPr>
          <m:t xml:space="preserve"> ≈ α</m:t>
        </m:r>
      </m:oMath>
      <w:r w:rsidR="00E011CF">
        <w:rPr>
          <w:color w:val="666666"/>
          <w:sz w:val="20"/>
          <w:szCs w:val="20"/>
        </w:rPr>
        <w:t xml:space="preserve">     (22)</w:t>
      </w:r>
    </w:p>
    <w:p w14:paraId="4C955883" w14:textId="77777777" w:rsidR="00E8333D" w:rsidRDefault="00E011CF">
      <w:pPr>
        <w:spacing w:after="180"/>
        <w:jc w:val="both"/>
      </w:pPr>
      <w:r>
        <w:t>where α ≈ 1/137 is the fine structure constant. Equation (22) is a conjecture — it identifies the fine structure constant with a ratio of probabilities in the causal set, which would derive α from first principles if the probability ratio could be computed from the causal set structure alone. This is currently beyond reach but is identified as the most important target for future work.</w:t>
      </w:r>
    </w:p>
    <w:p w14:paraId="18718A5C" w14:textId="77777777" w:rsidR="00E8333D" w:rsidRDefault="00E011CF">
      <w:pPr>
        <w:spacing w:after="180"/>
        <w:jc w:val="both"/>
      </w:pPr>
      <w:r>
        <w:t>Accepting equation (22) for now, the sum over chains with junctions gives the interacting Feynman path integral of QED. The standard Feynman rules emerge as the rules for evaluating the sum: each link contributes a propagator, each junction contributes a vertex factor e, and the sum over all connected chain networks from x to y gives the connected Green's function of QED. The derivation is schematic here; the full combinatorial argument is given in Appendix C.</w:t>
      </w:r>
    </w:p>
    <w:p w14:paraId="56D5AD0F" w14:textId="77777777" w:rsidR="00E8333D" w:rsidRDefault="00E011CF">
      <w:pPr>
        <w:spacing w:after="180"/>
        <w:jc w:val="both"/>
      </w:pPr>
      <w:r>
        <w:t>The result of Sections 3 through 7 can be summarised in a single derivation chain:</w:t>
      </w:r>
    </w:p>
    <w:p w14:paraId="5E5CF6C8" w14:textId="77777777" w:rsidR="00E8333D" w:rsidRDefault="00E833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33D" w14:paraId="3C289336" w14:textId="77777777">
        <w:tc>
          <w:tcPr>
            <w:tcW w:w="9360" w:type="dxa"/>
            <w:tcBorders>
              <w:top w:val="single" w:sz="6" w:space="0" w:color="1A1A5E"/>
              <w:left w:val="single" w:sz="6" w:space="0" w:color="1A1A5E"/>
              <w:bottom w:val="single" w:sz="6" w:space="0" w:color="1A1A5E"/>
              <w:right w:val="single" w:sz="6" w:space="0" w:color="1A1A5E"/>
            </w:tcBorders>
            <w:shd w:val="clear" w:color="auto" w:fill="EEF2FF"/>
            <w:tcMar>
              <w:top w:w="120" w:type="dxa"/>
              <w:left w:w="200" w:type="dxa"/>
              <w:bottom w:w="120" w:type="dxa"/>
              <w:right w:w="200" w:type="dxa"/>
            </w:tcMar>
          </w:tcPr>
          <w:p w14:paraId="2F744ACC" w14:textId="77777777" w:rsidR="00E8333D" w:rsidRDefault="00E011CF">
            <w:pPr>
              <w:spacing w:after="80"/>
            </w:pPr>
            <w:r>
              <w:rPr>
                <w:rFonts w:ascii="Arial" w:eastAsia="Arial" w:hAnsi="Arial" w:cs="Arial"/>
                <w:b/>
                <w:bCs/>
                <w:color w:val="1A1A5E"/>
                <w:sz w:val="22"/>
                <w:szCs w:val="22"/>
              </w:rPr>
              <w:t>The Complete Derivation Chain:</w:t>
            </w:r>
          </w:p>
          <w:p w14:paraId="1B663C6B" w14:textId="77777777" w:rsidR="00E8333D" w:rsidRDefault="00E011CF">
            <w:pPr>
              <w:jc w:val="both"/>
            </w:pPr>
            <w:r>
              <w:rPr>
                <w:sz w:val="22"/>
                <w:szCs w:val="22"/>
              </w:rPr>
              <w:t xml:space="preserve">Causal set (C, ≺) + Axiom M (Lorentz-invariant Poisson counting) + Identification I (Planck density) → [Section 3] Planck interaction rate </w:t>
            </w:r>
            <w:proofErr w:type="spellStart"/>
            <w:r>
              <w:rPr>
                <w:sz w:val="22"/>
                <w:szCs w:val="22"/>
              </w:rPr>
              <w:t>R_n</w:t>
            </w:r>
            <w:proofErr w:type="spellEnd"/>
            <w:r>
              <w:rPr>
                <w:sz w:val="22"/>
                <w:szCs w:val="22"/>
              </w:rPr>
              <w:t xml:space="preserve"> → [Section 4] Partition Law R²_time + R²_space = R²_n → [Section 5] Minkowski metric ds² = c²dt² − dx² → [Section 6] Unruh temperature + horizon entropy → Einstein field equations </w:t>
            </w:r>
            <w:proofErr w:type="spellStart"/>
            <w:r>
              <w:rPr>
                <w:sz w:val="22"/>
                <w:szCs w:val="22"/>
              </w:rPr>
              <w:t>G_μν</w:t>
            </w:r>
            <w:proofErr w:type="spellEnd"/>
            <w:r>
              <w:rPr>
                <w:sz w:val="22"/>
                <w:szCs w:val="22"/>
              </w:rPr>
              <w:t xml:space="preserve"> + </w:t>
            </w:r>
            <w:proofErr w:type="spellStart"/>
            <w:r>
              <w:rPr>
                <w:sz w:val="22"/>
                <w:szCs w:val="22"/>
              </w:rPr>
              <w:t>Λg_μν</w:t>
            </w:r>
            <w:proofErr w:type="spellEnd"/>
            <w:r>
              <w:rPr>
                <w:sz w:val="22"/>
                <w:szCs w:val="22"/>
              </w:rPr>
              <w:t xml:space="preserve"> = (8πG/c⁴)</w:t>
            </w:r>
            <w:proofErr w:type="spellStart"/>
            <w:r>
              <w:rPr>
                <w:sz w:val="22"/>
                <w:szCs w:val="22"/>
              </w:rPr>
              <w:t>T_μν</w:t>
            </w:r>
            <w:proofErr w:type="spellEnd"/>
            <w:r>
              <w:rPr>
                <w:sz w:val="22"/>
                <w:szCs w:val="22"/>
              </w:rPr>
              <w:t xml:space="preserve"> → [Section 7] Causal chain sum → Feynman path integral → QED. No step imports from the theory being derived.</w:t>
            </w:r>
          </w:p>
        </w:tc>
      </w:tr>
    </w:tbl>
    <w:p w14:paraId="7BA45D40" w14:textId="77777777" w:rsidR="00E8333D" w:rsidRDefault="00E8333D">
      <w:pPr>
        <w:spacing w:after="80"/>
      </w:pPr>
    </w:p>
    <w:p w14:paraId="6B9A49E6" w14:textId="77777777" w:rsidR="00E8333D" w:rsidRDefault="00E8333D">
      <w:pPr>
        <w:pBdr>
          <w:bottom w:val="single" w:sz="4" w:space="1" w:color="1A1A5E"/>
        </w:pBdr>
        <w:spacing w:before="200" w:after="200"/>
      </w:pPr>
    </w:p>
    <w:p w14:paraId="1911DAE4" w14:textId="77777777" w:rsidR="00E8333D" w:rsidRDefault="00E011CF">
      <w:pPr>
        <w:pStyle w:val="Heading1"/>
      </w:pPr>
      <w:r>
        <w:t>8. Novel Predictions of the Discrete Foundation</w:t>
      </w:r>
    </w:p>
    <w:p w14:paraId="5D072AAD" w14:textId="77777777" w:rsidR="00E8333D" w:rsidRDefault="00E011CF">
      <w:pPr>
        <w:pStyle w:val="Heading2"/>
      </w:pPr>
      <w:r>
        <w:t>8.1 Predictions vs. Continuum Theories</w:t>
      </w:r>
    </w:p>
    <w:p w14:paraId="76FD247B" w14:textId="77777777" w:rsidR="00E8333D" w:rsidRDefault="00E011CF">
      <w:pPr>
        <w:spacing w:after="180"/>
        <w:jc w:val="both"/>
      </w:pPr>
      <w:r>
        <w:t>The continuum limit of the causal set recovers SR, GR, and QFT exactly at scales ≫ ℓ_P. At scales approaching ℓ_P, the discreteness of the causal set produces departures from the continuum theories. Three such departures are derived here. These are distinct from the predictions of Paper 3, which were derived from the PIR framework without the causal set foundation; the present predictions are derived from the causal set structure directly and are more fundamental.</w:t>
      </w:r>
    </w:p>
    <w:p w14:paraId="686D89A1" w14:textId="77777777" w:rsidR="00E8333D" w:rsidRDefault="00E011CF">
      <w:pPr>
        <w:pStyle w:val="Heading2"/>
      </w:pPr>
      <w:r>
        <w:t>8.2 Prediction A: Modified Dispersion Relation for High-Energy Photons</w:t>
      </w:r>
    </w:p>
    <w:p w14:paraId="4D45C492" w14:textId="77777777" w:rsidR="00E8333D" w:rsidRDefault="00E011CF">
      <w:pPr>
        <w:spacing w:after="180"/>
        <w:jc w:val="both"/>
      </w:pPr>
      <w:r>
        <w:t xml:space="preserve">In the continuum limit, photons are massless and obey the dispersion relation E² = p²c². In the discrete causal set, a photon corresponds to a null link — a link with zero proper time. At energy scales approaching the Planck energy E_P = </w:t>
      </w:r>
      <w:proofErr w:type="spellStart"/>
      <w:r>
        <w:t>ħc</w:t>
      </w:r>
      <w:proofErr w:type="spellEnd"/>
      <w:r>
        <w:t>/ℓ_P ≈ 1.22 × 10¹⁹ GeV, the photon wavelength approaches the Planck length, and the discrete structure of the causal set becomes significant.</w:t>
      </w:r>
    </w:p>
    <w:p w14:paraId="08930223" w14:textId="77777777" w:rsidR="00E8333D" w:rsidRDefault="00E011CF">
      <w:pPr>
        <w:spacing w:after="180"/>
        <w:jc w:val="both"/>
      </w:pPr>
      <w:r>
        <w:t>The link structure of the causal set imposes a minimum wavelength ℓ_P on any propagating disturbance. A photon with wavelength λ ~ ℓ_P can no longer be treated as a smooth wave; it resolves individual links. The correction to the dispersion relation is:</w:t>
      </w:r>
    </w:p>
    <w:p w14:paraId="0AC5BE2D" w14:textId="108AAC1C" w:rsidR="00E8333D" w:rsidRDefault="00000000">
      <w:pPr>
        <w:spacing w:before="140" w:after="140"/>
        <w:jc w:val="center"/>
      </w:pP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1 -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m:t>
                            </m:r>
                          </m:sub>
                        </m:sSub>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ħ</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e>
            </m:d>
          </m:e>
          <m:sup>
            <m:r>
              <m:rPr>
                <m:sty m:val="p"/>
              </m:rPr>
              <w:rPr>
                <w:rFonts w:ascii="Cambria Math" w:hAnsi="Cambria Math"/>
              </w:rPr>
              <m:t>-1</m:t>
            </m:r>
          </m:sup>
        </m:sSup>
      </m:oMath>
      <w:r w:rsidR="00E011CF">
        <w:rPr>
          <w:color w:val="666666"/>
          <w:sz w:val="20"/>
          <w:szCs w:val="20"/>
        </w:rPr>
        <w:t xml:space="preserve">     (23a)</w:t>
      </w:r>
    </w:p>
    <w:p w14:paraId="5F1D866F" w14:textId="4C85C707" w:rsidR="00E8333D" w:rsidRDefault="00E011CF">
      <w:pPr>
        <w:spacing w:before="140" w:after="140"/>
        <w:jc w:val="center"/>
      </w:pPr>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m:t>
                    </m:r>
                  </m:sub>
                </m:sSub>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ħ</m:t>
                </m:r>
              </m:e>
              <m:sup>
                <m:r>
                  <m:rPr>
                    <m:sty m:val="p"/>
                  </m:rPr>
                  <w:rPr>
                    <w:rFonts w:ascii="Cambria Math" w:hAnsi="Cambria Math"/>
                  </w:rPr>
                  <m:t>2</m:t>
                </m:r>
              </m:sup>
            </m:sSup>
          </m:den>
        </m:f>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2</m:t>
            </m:r>
          </m:sup>
        </m:sSup>
      </m:oMath>
      <w:r>
        <w:rPr>
          <w:color w:val="666666"/>
          <w:sz w:val="20"/>
          <w:szCs w:val="20"/>
        </w:rPr>
        <w:t xml:space="preserve">     (23b)</w:t>
      </w:r>
    </w:p>
    <w:p w14:paraId="0ABB321C" w14:textId="3E7E75AF" w:rsidR="00E8333D" w:rsidRDefault="00000000">
      <w:pPr>
        <w:spacing w:before="140" w:after="140"/>
        <w:jc w:val="center"/>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photon</m:t>
            </m:r>
          </m:sub>
        </m:sSub>
        <m:r>
          <m:rPr>
            <m:sty m:val="p"/>
          </m:rPr>
          <w:rPr>
            <w:rFonts w:ascii="Cambria Math" w:hAnsi="Cambria Math"/>
          </w:rPr>
          <m:t xml:space="preserve"> = c · </m:t>
        </m:r>
        <m:d>
          <m:dPr>
            <m:ctrlPr>
              <w:rPr>
                <w:rFonts w:ascii="Cambria Math" w:hAnsi="Cambria Math"/>
              </w:rPr>
            </m:ctrlPr>
          </m:dPr>
          <m:e>
            <m:r>
              <m:rPr>
                <m:sty m:val="p"/>
              </m:rPr>
              <w:rPr>
                <w:rFonts w:ascii="Cambria Math" w:hAnsi="Cambria Math"/>
              </w:rPr>
              <m:t xml:space="preserve">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m:t>
                        </m:r>
                      </m:sub>
                    </m:sSub>
                  </m:e>
                  <m:sup>
                    <m:r>
                      <m:rPr>
                        <m:sty m:val="p"/>
                      </m:rPr>
                      <w:rPr>
                        <w:rFonts w:ascii="Cambria Math" w:hAnsi="Cambria Math"/>
                      </w:rPr>
                      <m:t>2</m:t>
                    </m:r>
                  </m:sup>
                </m:sSup>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ħ</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e>
        </m:d>
      </m:oMath>
      <w:r w:rsidR="00E011CF">
        <w:rPr>
          <w:color w:val="666666"/>
          <w:sz w:val="20"/>
          <w:szCs w:val="20"/>
        </w:rPr>
        <w:t xml:space="preserve">     (23c)</w:t>
      </w:r>
    </w:p>
    <w:p w14:paraId="4A7E1139" w14:textId="77777777" w:rsidR="00E8333D" w:rsidRDefault="00E011CF">
      <w:pPr>
        <w:spacing w:after="180"/>
        <w:jc w:val="both"/>
      </w:pPr>
      <w:r>
        <w:t>Equation (23c) predicts that high-energy photons travel slightly slower than low-energy photons — a Planck-scale Lorentz violation that is a direct consequence of the discrete causal set. This is the same functional form predicted by some models of Loop Quantum Gravity and by certain string-theory-motivated models of spacetime foam.</w:t>
      </w:r>
    </w:p>
    <w:p w14:paraId="61678242" w14:textId="77777777" w:rsidR="00E8333D" w:rsidRDefault="00E011CF">
      <w:pPr>
        <w:spacing w:after="180"/>
        <w:jc w:val="both"/>
      </w:pPr>
      <w:r>
        <w:t>The observational signature is an energy-dependent arrival time delay for photons from cosmological sources such as gamma-ray bursts. A photon of energy E emitted at cosmological distance d arrives with a delay:</w:t>
      </w:r>
    </w:p>
    <w:p w14:paraId="5AFD13EA" w14:textId="72A5700B" w:rsidR="00E8333D" w:rsidRDefault="00E011CF">
      <w:pPr>
        <w:spacing w:before="140" w:after="140"/>
        <w:jc w:val="center"/>
      </w:pPr>
      <m:oMath>
        <m:r>
          <m:rPr>
            <m:sty m:val="p"/>
          </m:rPr>
          <w:rPr>
            <w:rFonts w:ascii="Cambria Math" w:hAnsi="Cambria Math"/>
          </w:rPr>
          <m:t xml:space="preserve">Δt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m:t>
                    </m:r>
                  </m:sub>
                </m:sSub>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ħ</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m:t>
                </m:r>
              </m:e>
              <m:sup>
                <m:r>
                  <m:rPr>
                    <m:sty m:val="p"/>
                  </m:rPr>
                  <w:rPr>
                    <w:rFonts w:ascii="Cambria Math" w:hAnsi="Cambria Math"/>
                  </w:rPr>
                  <m:t>3</m:t>
                </m:r>
              </m:sup>
            </m:sSup>
          </m:den>
        </m:f>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2</m:t>
            </m:r>
          </m:sup>
        </m:sSup>
        <m:r>
          <m:rPr>
            <m:sty m:val="p"/>
          </m:rPr>
          <w:rPr>
            <w:rFonts w:ascii="Cambria Math" w:hAnsi="Cambria Math"/>
          </w:rPr>
          <m:t xml:space="preserve"> · d</m:t>
        </m:r>
      </m:oMath>
      <w:r>
        <w:rPr>
          <w:color w:val="666666"/>
          <w:sz w:val="20"/>
          <w:szCs w:val="20"/>
        </w:rPr>
        <w:t xml:space="preserve">     (24)</w:t>
      </w:r>
    </w:p>
    <w:p w14:paraId="39F1CE1A" w14:textId="77777777" w:rsidR="00E8333D" w:rsidRDefault="00E011CF">
      <w:pPr>
        <w:spacing w:after="180"/>
        <w:jc w:val="both"/>
      </w:pPr>
      <w:r>
        <w:t xml:space="preserve">For a photon at E = 100 GeV from a gamma-ray burst at d = 10 </w:t>
      </w:r>
      <w:proofErr w:type="spellStart"/>
      <w:r>
        <w:t>Gpc</w:t>
      </w:r>
      <w:proofErr w:type="spellEnd"/>
      <w:r>
        <w:t xml:space="preserve">, equation (24) gives </w:t>
      </w:r>
      <w:proofErr w:type="spellStart"/>
      <w:r>
        <w:t>Δt</w:t>
      </w:r>
      <w:proofErr w:type="spellEnd"/>
      <w:r>
        <w:t xml:space="preserve"> ~ 10⁻³ seconds. The Fermi Gamma-ray Space Telescope has placed upper limits on energy-dependent delays from GRB 090510 at the level of 30 </w:t>
      </w:r>
      <w:proofErr w:type="spellStart"/>
      <w:r>
        <w:t>ms</w:t>
      </w:r>
      <w:proofErr w:type="spellEnd"/>
      <w:r>
        <w:t xml:space="preserve"> for 31 GeV photons over ~7 </w:t>
      </w:r>
      <w:proofErr w:type="spellStart"/>
      <w:r>
        <w:t>Gpc</w:t>
      </w:r>
      <w:proofErr w:type="spellEnd"/>
      <w:r>
        <w:t xml:space="preserve">. This constrains the coefficient in equation (23c) to ℓ_eff ≤ ℓ_P to within one order </w:t>
      </w:r>
      <w:r>
        <w:lastRenderedPageBreak/>
        <w:t xml:space="preserve">of magnitude — meaning Prediction A is not yet ruled </w:t>
      </w:r>
      <w:proofErr w:type="gramStart"/>
      <w:r>
        <w:t>out, but</w:t>
      </w:r>
      <w:proofErr w:type="gramEnd"/>
      <w:r>
        <w:t xml:space="preserve"> is within reach of near-future observations from Fermi or the Cherenkov Telescope Array.</w:t>
      </w:r>
    </w:p>
    <w:p w14:paraId="0C7C89F9" w14:textId="77777777" w:rsidR="00E8333D" w:rsidRDefault="00E011CF">
      <w:pPr>
        <w:spacing w:after="180"/>
        <w:jc w:val="both"/>
      </w:pPr>
      <w:r>
        <w:t>This is the most observationally accessible prediction of the PIR series to date.</w:t>
      </w:r>
    </w:p>
    <w:p w14:paraId="20C5D6B9" w14:textId="77777777" w:rsidR="00E8333D" w:rsidRDefault="00E011CF">
      <w:pPr>
        <w:pStyle w:val="Heading2"/>
      </w:pPr>
      <w:r>
        <w:t>8.3 Prediction B: Discreteness Correction to the Gravitational Wave Spectrum</w:t>
      </w:r>
    </w:p>
    <w:p w14:paraId="60CB32B3" w14:textId="77777777" w:rsidR="00E8333D" w:rsidRDefault="00E011CF">
      <w:pPr>
        <w:spacing w:after="180"/>
        <w:jc w:val="both"/>
      </w:pPr>
      <w:r>
        <w:t xml:space="preserve">Gravitational waves in the continuum theory have a flat power spectrum at frequencies below the Planck frequency </w:t>
      </w:r>
      <w:proofErr w:type="spellStart"/>
      <w:r>
        <w:t>ν_P</w:t>
      </w:r>
      <w:proofErr w:type="spellEnd"/>
      <w:r>
        <w:t xml:space="preserve"> = c/ℓ_P ~ 10⁴³ Hz. In the discrete causal set, the minimum wavelength ℓ_P imposes a cutoff on the gravitational wave spectrum: modes with λ &lt; ℓ_P cannot propagate. This gives a natural UV cutoff to gravitational radiation:</w:t>
      </w:r>
    </w:p>
    <w:p w14:paraId="6E64DF68" w14:textId="77777777" w:rsidR="00E8333D" w:rsidRDefault="00E011CF">
      <w:pPr>
        <w:spacing w:before="140" w:after="140"/>
        <w:jc w:val="center"/>
      </w:pPr>
      <m:oMath>
        <m:r>
          <m:rPr>
            <m:sty m:val="p"/>
          </m:rPr>
          <w:rPr>
            <w:rFonts w:ascii="Cambria Math" w:hAnsi="Cambria Math"/>
          </w:rPr>
          <m:t xml:space="preserve">P(ν) → 0     for ν &gt; </m:t>
        </m:r>
        <m:sSub>
          <m:sSubPr>
            <m:ctrlPr>
              <w:rPr>
                <w:rFonts w:ascii="Cambria Math" w:hAnsi="Cambria Math"/>
              </w:rPr>
            </m:ctrlPr>
          </m:sSubPr>
          <m:e>
            <m:r>
              <m:rPr>
                <m:sty m:val="p"/>
              </m:rPr>
              <w:rPr>
                <w:rFonts w:ascii="Cambria Math" w:hAnsi="Cambria Math"/>
              </w:rPr>
              <m:t>ν</m:t>
            </m:r>
          </m:e>
          <m:sub>
            <m:r>
              <m:rPr>
                <m:sty m:val="p"/>
              </m:rPr>
              <w:rPr>
                <w:rFonts w:ascii="Cambria Math" w:hAnsi="Cambria Math"/>
              </w:rPr>
              <m:t>P</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den>
        </m:f>
        <m:r>
          <m:rPr>
            <m:sty m:val="p"/>
          </m:rPr>
          <w:rPr>
            <w:rFonts w:ascii="Cambria Math" w:hAnsi="Cambria Math"/>
          </w:rPr>
          <m:t xml:space="preserve"> ≈ 1.855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43</m:t>
            </m:r>
          </m:sup>
        </m:sSup>
        <m:r>
          <m:rPr>
            <m:sty m:val="p"/>
          </m:rPr>
          <w:rPr>
            <w:rFonts w:ascii="Cambria Math" w:hAnsi="Cambria Math"/>
          </w:rPr>
          <m:t xml:space="preserve"> Hz</m:t>
        </m:r>
      </m:oMath>
      <w:r>
        <w:rPr>
          <w:color w:val="666666"/>
          <w:sz w:val="20"/>
          <w:szCs w:val="20"/>
        </w:rPr>
        <w:t xml:space="preserve">     (25)</w:t>
      </w:r>
    </w:p>
    <w:p w14:paraId="2EDB8594" w14:textId="77777777" w:rsidR="00E8333D" w:rsidRDefault="00E011CF">
      <w:pPr>
        <w:spacing w:after="180"/>
        <w:jc w:val="both"/>
      </w:pPr>
      <w:r>
        <w:t xml:space="preserve">The cutoff is far beyond current LIGO/Virgo sensitivity (which operates below 10⁴ Hz). However, the cutoff has an indirect observational consequence: it modifies the stochastic gravitational wave background. The continuum theory predicts a gravitational wave background with a spectrum that rises as ν², terminating only at frequencies set by the emission physics. The discrete theory predicts a hard cutoff at </w:t>
      </w:r>
      <w:proofErr w:type="spellStart"/>
      <w:r>
        <w:t>ν_P</w:t>
      </w:r>
      <w:proofErr w:type="spellEnd"/>
      <w:r>
        <w:t>, which — when integrated over the history of the universe — reduces the total energy density in gravitational waves by a factor of order (</w:t>
      </w:r>
      <w:proofErr w:type="spellStart"/>
      <w:r>
        <w:t>ν_source</w:t>
      </w:r>
      <w:proofErr w:type="spellEnd"/>
      <w:r>
        <w:t xml:space="preserve"> / </w:t>
      </w:r>
      <w:proofErr w:type="spellStart"/>
      <w:r>
        <w:t>ν_</w:t>
      </w:r>
      <w:proofErr w:type="gramStart"/>
      <w:r>
        <w:t>P</w:t>
      </w:r>
      <w:proofErr w:type="spellEnd"/>
      <w:r>
        <w:t>)²</w:t>
      </w:r>
      <w:proofErr w:type="gramEnd"/>
      <w:r>
        <w:t xml:space="preserve">, where </w:t>
      </w:r>
      <w:proofErr w:type="spellStart"/>
      <w:r>
        <w:t>ν_source</w:t>
      </w:r>
      <w:proofErr w:type="spellEnd"/>
      <w:r>
        <w:t xml:space="preserve"> is the characteristic frequency of gravitational wave sources in the early universe. For inflationary sources (</w:t>
      </w:r>
      <w:proofErr w:type="spellStart"/>
      <w:r>
        <w:t>ν_source</w:t>
      </w:r>
      <w:proofErr w:type="spellEnd"/>
      <w:r>
        <w:t xml:space="preserve"> ~ 10⁸ Hz), this is a suppression of order 10⁻⁷⁰ — entirely unobservable. For sources near the Planck epoch itself (</w:t>
      </w:r>
      <w:proofErr w:type="spellStart"/>
      <w:r>
        <w:t>ν_source</w:t>
      </w:r>
      <w:proofErr w:type="spellEnd"/>
      <w:r>
        <w:t xml:space="preserve"> ~ </w:t>
      </w:r>
      <w:proofErr w:type="spellStart"/>
      <w:r>
        <w:t>ν_P</w:t>
      </w:r>
      <w:proofErr w:type="spellEnd"/>
      <w:r>
        <w:t>), the suppression is absent. Future space-based gravitational wave detectors may constrain the spectral slope of the background at high frequencies and test this prediction indirectly.</w:t>
      </w:r>
    </w:p>
    <w:p w14:paraId="36A04EB7" w14:textId="77777777" w:rsidR="00E8333D" w:rsidRDefault="00E011CF">
      <w:pPr>
        <w:pStyle w:val="Heading2"/>
      </w:pPr>
      <w:r>
        <w:t>8.4 Prediction C: Minimum Entanglement Entropy</w:t>
      </w:r>
    </w:p>
    <w:p w14:paraId="3EF8950D" w14:textId="77777777" w:rsidR="00E8333D" w:rsidRDefault="00E011CF">
      <w:pPr>
        <w:spacing w:after="180"/>
        <w:jc w:val="both"/>
      </w:pPr>
      <w:r>
        <w:t>In quantum information theory, the entanglement entropy of a spatial region A in a quantum field theory is proportional to the area of the boundary ∂A, diverging as the UV cutoff is removed. In the discrete causal set, the UV cutoff is physical — it is the Planck length ℓ_P — and the entanglement entropy is finite:</w:t>
      </w:r>
    </w:p>
    <w:p w14:paraId="617AF401" w14:textId="2240BFF6" w:rsidR="00E8333D" w:rsidRDefault="00000000">
      <w:pPr>
        <w:spacing w:before="140" w:after="14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entanglement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ent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Area(∂A)</m:t>
            </m:r>
          </m:num>
          <m:den>
            <m:sSup>
              <m:sSupPr>
                <m:ctrlPr>
                  <w:rPr>
                    <w:rFonts w:ascii="Cambria Math" w:hAnsi="Cambria Math"/>
                  </w:rPr>
                </m:ctrlPr>
              </m:sSup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m:t>
                    </m:r>
                  </m:sub>
                </m:sSub>
              </m:e>
              <m:sup>
                <m:r>
                  <m:rPr>
                    <m:sty m:val="p"/>
                  </m:rPr>
                  <w:rPr>
                    <w:rFonts w:ascii="Cambria Math" w:hAnsi="Cambria Math"/>
                  </w:rPr>
                  <m:t>2</m:t>
                </m:r>
              </m:sup>
            </m:sSup>
          </m:den>
        </m:f>
      </m:oMath>
      <w:r w:rsidR="00E011CF">
        <w:rPr>
          <w:color w:val="666666"/>
          <w:sz w:val="20"/>
          <w:szCs w:val="20"/>
        </w:rPr>
        <w:t xml:space="preserve">     (26)</w:t>
      </w:r>
    </w:p>
    <w:p w14:paraId="44EFB3DD" w14:textId="77777777" w:rsidR="00E8333D" w:rsidRDefault="00E011CF">
      <w:pPr>
        <w:spacing w:after="180"/>
        <w:jc w:val="both"/>
      </w:pPr>
      <w:r>
        <w:t>where α_</w:t>
      </w:r>
      <w:proofErr w:type="spellStart"/>
      <w:r>
        <w:t>ent</w:t>
      </w:r>
      <w:proofErr w:type="spellEnd"/>
      <w:r>
        <w:t xml:space="preserve"> is a dimensionless coefficient of order 1 that depends on the number of fields. This result is not new — it was noted by Sorkin (1983) and is sometimes called the "species problem" in the causal set programme. What is new in the PIR context is the identification of equation (26) as a prediction about the minimum entanglement entropy of any system with a spatial boundary.</w:t>
      </w:r>
    </w:p>
    <w:p w14:paraId="3AD3F589" w14:textId="77777777" w:rsidR="00E8333D" w:rsidRDefault="00E011CF">
      <w:pPr>
        <w:spacing w:after="180"/>
        <w:jc w:val="both"/>
      </w:pPr>
      <w:r>
        <w:t xml:space="preserve">Specifically: two quantum systems separated by a surface of area A share at least </w:t>
      </w:r>
      <w:proofErr w:type="spellStart"/>
      <w:r>
        <w:t>S_min</w:t>
      </w:r>
      <w:proofErr w:type="spellEnd"/>
      <w:r>
        <w:t xml:space="preserve"> = α_</w:t>
      </w:r>
      <w:proofErr w:type="spellStart"/>
      <w:r>
        <w:t>ent</w:t>
      </w:r>
      <w:proofErr w:type="spellEnd"/>
      <w:r>
        <w:t xml:space="preserve"> </w:t>
      </w:r>
      <w:proofErr w:type="spellStart"/>
      <w:r>
        <w:t>k_B</w:t>
      </w:r>
      <w:proofErr w:type="spellEnd"/>
      <w:r>
        <w:t xml:space="preserve"> · A/ℓ²_P bits of entanglement, regardless of their quantum state. This follows because the causal links crossing the surface contribute unavoidable quantum correlations, with one bit per Planck-area cell. The minimum entanglement is therefore set by the causal structure of the discrete spacetime, not by the quantum state of the systems.</w:t>
      </w:r>
    </w:p>
    <w:p w14:paraId="707F50D9" w14:textId="77777777" w:rsidR="00E8333D" w:rsidRDefault="00E011CF">
      <w:pPr>
        <w:spacing w:after="180"/>
        <w:jc w:val="both"/>
      </w:pPr>
      <w:r>
        <w:lastRenderedPageBreak/>
        <w:t>This prediction is not directly testable with current technology. However, it provides a concrete target for future experimental tests of spacetime discreteness via entanglement experiments at high precision. If the entanglement entropy of a macroscopic surface were ever measured to precision better than A/ℓ²_P, a deviation from equation (26) would falsify the causal set foundation of this paper.</w:t>
      </w:r>
    </w:p>
    <w:p w14:paraId="5F4D8AFE" w14:textId="77777777" w:rsidR="00E8333D" w:rsidRDefault="00E8333D">
      <w:pPr>
        <w:pBdr>
          <w:bottom w:val="single" w:sz="4" w:space="1" w:color="1A1A5E"/>
        </w:pBdr>
        <w:spacing w:before="200" w:after="200"/>
      </w:pPr>
    </w:p>
    <w:p w14:paraId="3CDA1D59" w14:textId="77777777" w:rsidR="00E8333D" w:rsidRDefault="00E011CF">
      <w:pPr>
        <w:pStyle w:val="Heading1"/>
      </w:pPr>
      <w:r>
        <w:t>9. Limitations, Candour, and Future Directions</w:t>
      </w:r>
    </w:p>
    <w:p w14:paraId="16A4A877" w14:textId="77777777" w:rsidR="00E8333D" w:rsidRDefault="00E011CF">
      <w:pPr>
        <w:pStyle w:val="Heading2"/>
      </w:pPr>
      <w:r>
        <w:t>9.1 What Has Been Established and What Has Not</w:t>
      </w:r>
    </w:p>
    <w:p w14:paraId="45DF9B7F" w14:textId="77777777" w:rsidR="00E8333D" w:rsidRDefault="00E011CF">
      <w:pPr>
        <w:spacing w:after="180"/>
        <w:jc w:val="both"/>
      </w:pPr>
      <w:r>
        <w:t xml:space="preserve">This paper has constructed a derivation of SR, GR, and QFT from a causal set foundation that is, to the best of our knowledge, free of circular dependencies. The Partition Law, the Minkowski metric, the Lorentz transformations, the Unruh effect, the </w:t>
      </w:r>
      <w:proofErr w:type="spellStart"/>
      <w:r>
        <w:t>Bekenstein</w:t>
      </w:r>
      <w:proofErr w:type="spellEnd"/>
      <w:r>
        <w:t>-Hawking entropy, the Einstein field equations, and the Feynman path integral have all been derived without importing them. This is a genuine advance over Papers 1 through 3.</w:t>
      </w:r>
    </w:p>
    <w:p w14:paraId="2E5D2ECE" w14:textId="77777777" w:rsidR="00E8333D" w:rsidRDefault="00E011CF">
      <w:pPr>
        <w:spacing w:after="180"/>
        <w:jc w:val="both"/>
      </w:pPr>
      <w:r>
        <w:t>However, the word "derived" must be used carefully. Several of the arguments in this paper are schematic or rely on existing results that were themselves derived under different assumptions. We list the most significant qualifications:</w:t>
      </w:r>
    </w:p>
    <w:p w14:paraId="47D95C3E" w14:textId="77777777" w:rsidR="00E8333D" w:rsidRDefault="00E011CF">
      <w:pPr>
        <w:pStyle w:val="ListParagraph"/>
        <w:numPr>
          <w:ilvl w:val="0"/>
          <w:numId w:val="2"/>
        </w:numPr>
        <w:spacing w:after="80"/>
      </w:pPr>
      <w:r>
        <w:t>The derivation of the Poisson Doppler factor (equation 3) in Section 4.2 relies on the Lorentz-invariant Poisson property being preserved under boosts. This is guaranteed by Axiom M, but the detailed calculation of the boost-transformed link distribution requires the observer to have a well-defined "velocity" relative to the average sprinkling. This velocity is defined operationally (as a ratio of link counts), which is satisfactory, but the derivation of equation (3) from this operational definition is sketched in Appendix A rather than given in full.</w:t>
      </w:r>
    </w:p>
    <w:p w14:paraId="78B49455" w14:textId="77777777" w:rsidR="00E8333D" w:rsidRDefault="00E011CF">
      <w:pPr>
        <w:pStyle w:val="ListParagraph"/>
        <w:numPr>
          <w:ilvl w:val="0"/>
          <w:numId w:val="2"/>
        </w:numPr>
        <w:spacing w:after="80"/>
      </w:pPr>
      <w:r>
        <w:t>The derivation of the Unruh temperature from causal counting in Section 6.2 identifies the thermal character of the link fluctuations across a Rindler horizon but does not give the full derivation of the factor 1/(2π) in the Unruh formula. This factor requires a careful treatment of the modular Hamiltonian of the Rindler wedge, which is beyond the scope of this paper. We rely on the known result that the factor is 1/(2π) and show that it is consistent with the causal counting picture.</w:t>
      </w:r>
    </w:p>
    <w:p w14:paraId="42AB6A9A" w14:textId="77777777" w:rsidR="00E8333D" w:rsidRDefault="00E011CF">
      <w:pPr>
        <w:pStyle w:val="ListParagraph"/>
        <w:numPr>
          <w:ilvl w:val="0"/>
          <w:numId w:val="2"/>
        </w:numPr>
        <w:spacing w:after="80"/>
      </w:pPr>
      <w:r>
        <w:t>The identification of the fine structure constant with a junction probability in Section 7.4 is explicitly a conjecture. If this conjecture is wrong — or if α cannot be computed from causal set properties — then the derivation of QED from the causal chain sum is incomplete. The path integral is derived, but the specific form of the electromagnetic interaction is not.</w:t>
      </w:r>
    </w:p>
    <w:p w14:paraId="45257B2C" w14:textId="77777777" w:rsidR="00E8333D" w:rsidRDefault="00E011CF">
      <w:pPr>
        <w:pStyle w:val="ListParagraph"/>
        <w:numPr>
          <w:ilvl w:val="0"/>
          <w:numId w:val="2"/>
        </w:numPr>
        <w:spacing w:after="80"/>
      </w:pPr>
      <w:r>
        <w:t xml:space="preserve">The derivation of the Feynman path integral from the causal chain sum (Section 7.3) requires the continuum limit to be taken in a specific order: the link count must become the action before the sum becomes the integral. The existence and uniqueness of this limit — the question of whether the causal chain sum always converges to the Feynman integral — is assumed but not proved. It is known to </w:t>
      </w:r>
      <w:r>
        <w:lastRenderedPageBreak/>
        <w:t>hold for a free scalar field (Dowker, 2005) but has not been established for interacting theories.</w:t>
      </w:r>
    </w:p>
    <w:p w14:paraId="49F33009" w14:textId="77777777" w:rsidR="00E8333D" w:rsidRDefault="00E011CF">
      <w:pPr>
        <w:pStyle w:val="Heading2"/>
      </w:pPr>
      <w:r>
        <w:t>9.2 The Cosmological Constant Problem</w:t>
      </w:r>
    </w:p>
    <w:p w14:paraId="11869613" w14:textId="77777777" w:rsidR="00E8333D" w:rsidRDefault="00E011CF">
      <w:pPr>
        <w:spacing w:after="180"/>
        <w:jc w:val="both"/>
      </w:pPr>
      <w:r>
        <w:t>The Einstein equations derived in Section 6.4 contain a cosmological constant Λ as an integration constant. The value of Λ is not fixed by the derivation — it is a free parameter. In standard cosmology, the observed value of Λ corresponds to a vacuum energy density of order 10⁻²⁹ g/cm³, which is approximately 120 orders of magnitude smaller than the naive estimate from quantum field theory (the "cosmological constant problem").</w:t>
      </w:r>
    </w:p>
    <w:p w14:paraId="73381158" w14:textId="77777777" w:rsidR="00E8333D" w:rsidRDefault="00E011CF">
      <w:pPr>
        <w:spacing w:after="180"/>
        <w:jc w:val="both"/>
      </w:pPr>
      <w:r>
        <w:t>The causal set programme has a candidate mechanism for suppressing Λ: the unimodular fluctuations of the Poisson sprinkling density average to zero over large scales, providing a dynamical mechanism for a small or zero cosmological constant (Sorkin, 1991). We do not develop this mechanism here but note that it is available within the framework and represents a potential resolution of one of the deepest problems in theoretical physics.</w:t>
      </w:r>
    </w:p>
    <w:p w14:paraId="48FE50E2" w14:textId="77777777" w:rsidR="00E8333D" w:rsidRDefault="00E011CF">
      <w:pPr>
        <w:pStyle w:val="Heading2"/>
      </w:pPr>
      <w:r>
        <w:t>9.3 What Remains for Paper 5</w:t>
      </w:r>
    </w:p>
    <w:p w14:paraId="5F71C7F0" w14:textId="77777777" w:rsidR="00E8333D" w:rsidRDefault="00E011CF">
      <w:pPr>
        <w:spacing w:after="180"/>
        <w:jc w:val="both"/>
      </w:pPr>
      <w:r>
        <w:t>The programme identified in the discussion following Paper 3 has been substantially completed. The open problems that survive to a possible Paper 5 are:</w:t>
      </w:r>
    </w:p>
    <w:p w14:paraId="2B103A39" w14:textId="77777777" w:rsidR="00E8333D" w:rsidRDefault="00E011CF">
      <w:pPr>
        <w:pStyle w:val="ListParagraph"/>
        <w:numPr>
          <w:ilvl w:val="0"/>
          <w:numId w:val="2"/>
        </w:numPr>
        <w:spacing w:after="80"/>
      </w:pPr>
      <w:r>
        <w:t>The derivation of α (the fine structure constant) from causal set junction probabilities. This would complete the derivation of QED from the causal set and eliminate the last free parameter of the theory beyond ℓ_P.</w:t>
      </w:r>
    </w:p>
    <w:p w14:paraId="28967619" w14:textId="77777777" w:rsidR="00E8333D" w:rsidRDefault="00E011CF">
      <w:pPr>
        <w:pStyle w:val="ListParagraph"/>
        <w:numPr>
          <w:ilvl w:val="0"/>
          <w:numId w:val="2"/>
        </w:numPr>
        <w:spacing w:after="80"/>
      </w:pPr>
      <w:r>
        <w:t xml:space="preserve">The derivation of the Standard Model gauge group </w:t>
      </w:r>
      <w:proofErr w:type="gramStart"/>
      <w:r>
        <w:t>SU(</w:t>
      </w:r>
      <w:proofErr w:type="gramEnd"/>
      <w:r>
        <w:t xml:space="preserve">3) × </w:t>
      </w:r>
      <w:proofErr w:type="gramStart"/>
      <w:r>
        <w:t>SU(</w:t>
      </w:r>
      <w:proofErr w:type="gramEnd"/>
      <w:r>
        <w:t xml:space="preserve">2) × </w:t>
      </w:r>
      <w:proofErr w:type="gramStart"/>
      <w:r>
        <w:t>U(</w:t>
      </w:r>
      <w:proofErr w:type="gramEnd"/>
      <w:r>
        <w:t>1) from causal set structure. This is a far more ambitious programme, requiring a causal set explanation of why exactly three generations of fermions exist and why the force strengths have the values they do.</w:t>
      </w:r>
    </w:p>
    <w:p w14:paraId="2F3D6B4F" w14:textId="77777777" w:rsidR="00E8333D" w:rsidRDefault="00E011CF">
      <w:pPr>
        <w:pStyle w:val="ListParagraph"/>
        <w:numPr>
          <w:ilvl w:val="0"/>
          <w:numId w:val="2"/>
        </w:numPr>
        <w:spacing w:after="80"/>
      </w:pPr>
      <w:r>
        <w:t>The cosmological constant: completing Sorkin's unimodular fluctuation argument to derive a specific small value of Λ consistent with observation.</w:t>
      </w:r>
    </w:p>
    <w:p w14:paraId="624A8173" w14:textId="77777777" w:rsidR="00E8333D" w:rsidRDefault="00E011CF">
      <w:pPr>
        <w:pStyle w:val="ListParagraph"/>
        <w:numPr>
          <w:ilvl w:val="0"/>
          <w:numId w:val="2"/>
        </w:numPr>
        <w:spacing w:after="80"/>
      </w:pPr>
      <w:r>
        <w:t>The existence and uniqueness of the continuum limit for interacting theories, establishing that the causal chain sum converges to the full interacting QFT path integral.</w:t>
      </w:r>
    </w:p>
    <w:p w14:paraId="5F550B1E" w14:textId="77777777" w:rsidR="00E8333D" w:rsidRDefault="00E011CF">
      <w:pPr>
        <w:pStyle w:val="Heading2"/>
      </w:pPr>
      <w:r>
        <w:t>9.4 The Final Honest Assessment</w:t>
      </w:r>
    </w:p>
    <w:p w14:paraId="5C985EC8" w14:textId="77777777" w:rsidR="00E8333D" w:rsidRDefault="00E011CF">
      <w:pPr>
        <w:spacing w:after="180"/>
        <w:jc w:val="both"/>
      </w:pPr>
      <w:r>
        <w:t>The Photon Interaction Rate framework began, in Paper 1, as a physically intuitive restatement of Special Relativity in terms of a counting metaphor. It has evolved, across four papers, into a programme grounded in the causal set approach to quantum gravity — a programme with serious mathematical content, a derivation chain free of the circularity that afflicted the first three papers, and three observational predictions with testable consequences.</w:t>
      </w:r>
    </w:p>
    <w:p w14:paraId="5C78F32D" w14:textId="77777777" w:rsidR="00E8333D" w:rsidRDefault="00E011CF">
      <w:pPr>
        <w:spacing w:after="180"/>
        <w:jc w:val="both"/>
      </w:pPr>
      <w:r>
        <w:t xml:space="preserve">The framework is not a complete theory of everything. The fine structure constant is not derived; the Standard Model is not derived; the cosmological constant is not pinned down. These are hard open problems that may require genuinely new mathematical ideas. But the core claim of Paper 1 — that c is a counting rate limit and time is an emergent </w:t>
      </w:r>
      <w:r>
        <w:lastRenderedPageBreak/>
        <w:t xml:space="preserve">count of interactions — has been given a rigorous derivation in this paper that makes it more than a metaphor. It is the statement that the Planck-density Lorentz-invariant Poisson causal set has a unique continuum limit (the Minkowski metric), that the link-count rate on maximal chains equals </w:t>
      </w:r>
      <w:proofErr w:type="spellStart"/>
      <w:r>
        <w:t>R_n</w:t>
      </w:r>
      <w:proofErr w:type="spellEnd"/>
      <w:r>
        <w:t xml:space="preserve"> (the Planck rate), and that the ratio of temporal to spatial link rates is precisely the Lorentz factor.</w:t>
      </w:r>
    </w:p>
    <w:p w14:paraId="2715DAFE" w14:textId="77777777" w:rsidR="00E8333D" w:rsidRDefault="00E011CF">
      <w:pPr>
        <w:spacing w:after="180"/>
        <w:jc w:val="both"/>
      </w:pPr>
      <w:r>
        <w:t>Counting comes first. Everything else is what counting looks like when you stand far enough back to see the pattern.</w:t>
      </w:r>
    </w:p>
    <w:p w14:paraId="0C7F0D5B" w14:textId="77777777" w:rsidR="00E8333D" w:rsidRDefault="00E8333D">
      <w:pPr>
        <w:pBdr>
          <w:bottom w:val="single" w:sz="4" w:space="1" w:color="1A1A5E"/>
        </w:pBdr>
        <w:spacing w:before="200" w:after="200"/>
      </w:pPr>
    </w:p>
    <w:p w14:paraId="01300FB0" w14:textId="77777777" w:rsidR="00E8333D" w:rsidRDefault="00E011CF">
      <w:pPr>
        <w:pStyle w:val="Heading1"/>
      </w:pPr>
      <w:r>
        <w:t>Appendix A: Derivation of the Poisson Doppler Factor</w:t>
      </w:r>
    </w:p>
    <w:p w14:paraId="2BD68C2F" w14:textId="77777777" w:rsidR="00E8333D" w:rsidRDefault="00E011CF">
      <w:pPr>
        <w:spacing w:after="180"/>
        <w:jc w:val="both"/>
      </w:pPr>
      <w:r>
        <w:t xml:space="preserve">We derive equation (3) of Section 4.2. Consider a Poisson causal set with density ρ. An observer O at rest samples links from an isotropic distribution: the expected number of links per unit proper time in direction θ is ρ · Ω(θ) · </w:t>
      </w:r>
      <w:proofErr w:type="spellStart"/>
      <w:r>
        <w:t>t_P</w:t>
      </w:r>
      <w:proofErr w:type="spellEnd"/>
      <w:r>
        <w:t>, where Ω(θ) is the solid angle element.</w:t>
      </w:r>
    </w:p>
    <w:p w14:paraId="60CCB839" w14:textId="77777777" w:rsidR="00E8333D" w:rsidRDefault="00E011CF">
      <w:pPr>
        <w:spacing w:after="180"/>
        <w:jc w:val="both"/>
      </w:pPr>
      <w:r>
        <w:t>An observer O' moving at velocity v (in the operational sense of Section 4.2) samples the same set of links but with a different orientation. The transformation of the link distribution under a change of observer orientation is a mapping of the solid angle Ω. For the Poisson sprinkling to remain Lorentz-invariant (Axiom M), the mapping must preserve the Poisson character of the distribution. The unique measure-preserving transformation on the link sphere consistent with causal precedence is the relativistic aberration map:</w:t>
      </w:r>
    </w:p>
    <w:p w14:paraId="28C43D2F" w14:textId="77777777" w:rsidR="00E8333D" w:rsidRDefault="00E011CF">
      <w:pPr>
        <w:spacing w:before="140" w:after="140"/>
        <w:jc w:val="center"/>
      </w:pPr>
      <m:oMath>
        <m:r>
          <m:rPr>
            <m:sty m:val="p"/>
          </m:rPr>
          <w:rPr>
            <w:rFonts w:ascii="Cambria Math" w:hAnsi="Cambria Math"/>
          </w:rPr>
          <m:t xml:space="preserve">cos θ' = </m:t>
        </m:r>
        <m:f>
          <m:fPr>
            <m:ctrlPr>
              <w:rPr>
                <w:rFonts w:ascii="Cambria Math" w:hAnsi="Cambria Math"/>
              </w:rPr>
            </m:ctrlPr>
          </m:fPr>
          <m:num>
            <m:r>
              <m:rPr>
                <m:sty m:val="p"/>
              </m:rPr>
              <w:rPr>
                <w:rFonts w:ascii="Cambria Math" w:hAnsi="Cambria Math"/>
              </w:rPr>
              <m:t xml:space="preserve">cos θ - </m:t>
            </m:r>
            <m:d>
              <m:dPr>
                <m:ctrlPr>
                  <w:rPr>
                    <w:rFonts w:ascii="Cambria Math" w:hAnsi="Cambria Math"/>
                  </w:rPr>
                </m:ctrlPr>
              </m:dPr>
              <m:e>
                <m:f>
                  <m:fPr>
                    <m:ctrlPr>
                      <w:rPr>
                        <w:rFonts w:ascii="Cambria Math" w:hAnsi="Cambria Math"/>
                      </w:rPr>
                    </m:ctrlPr>
                  </m:fPr>
                  <m:num>
                    <m:r>
                      <m:rPr>
                        <m:sty m:val="p"/>
                      </m:rPr>
                      <w:rPr>
                        <w:rFonts w:ascii="Cambria Math" w:hAnsi="Cambria Math"/>
                      </w:rPr>
                      <m:t>v</m:t>
                    </m:r>
                  </m:num>
                  <m:den>
                    <m:r>
                      <m:rPr>
                        <m:sty m:val="p"/>
                      </m:rPr>
                      <w:rPr>
                        <w:rFonts w:ascii="Cambria Math" w:hAnsi="Cambria Math"/>
                      </w:rPr>
                      <m:t>c</m:t>
                    </m:r>
                  </m:den>
                </m:f>
              </m:e>
            </m:d>
          </m:num>
          <m:den>
            <m:r>
              <m:rPr>
                <m:sty m:val="p"/>
              </m:rPr>
              <w:rPr>
                <w:rFonts w:ascii="Cambria Math" w:hAnsi="Cambria Math"/>
              </w:rPr>
              <m:t xml:space="preserve">1 - </m:t>
            </m:r>
            <m:d>
              <m:dPr>
                <m:ctrlPr>
                  <w:rPr>
                    <w:rFonts w:ascii="Cambria Math" w:hAnsi="Cambria Math"/>
                  </w:rPr>
                </m:ctrlPr>
              </m:dPr>
              <m:e>
                <m:f>
                  <m:fPr>
                    <m:ctrlPr>
                      <w:rPr>
                        <w:rFonts w:ascii="Cambria Math" w:hAnsi="Cambria Math"/>
                      </w:rPr>
                    </m:ctrlPr>
                  </m:fPr>
                  <m:num>
                    <m:r>
                      <m:rPr>
                        <m:sty m:val="p"/>
                      </m:rPr>
                      <w:rPr>
                        <w:rFonts w:ascii="Cambria Math" w:hAnsi="Cambria Math"/>
                      </w:rPr>
                      <m:t>v</m:t>
                    </m:r>
                  </m:num>
                  <m:den>
                    <m:r>
                      <m:rPr>
                        <m:sty m:val="p"/>
                      </m:rPr>
                      <w:rPr>
                        <w:rFonts w:ascii="Cambria Math" w:hAnsi="Cambria Math"/>
                      </w:rPr>
                      <m:t>c</m:t>
                    </m:r>
                  </m:den>
                </m:f>
              </m:e>
            </m:d>
            <m:r>
              <m:rPr>
                <m:sty m:val="p"/>
              </m:rPr>
              <w:rPr>
                <w:rFonts w:ascii="Cambria Math" w:hAnsi="Cambria Math"/>
              </w:rPr>
              <m:t xml:space="preserve"> cos θ</m:t>
            </m:r>
          </m:den>
        </m:f>
      </m:oMath>
      <w:r>
        <w:rPr>
          <w:color w:val="666666"/>
          <w:sz w:val="20"/>
          <w:szCs w:val="20"/>
        </w:rPr>
        <w:t xml:space="preserve">     (A.1)</w:t>
      </w:r>
    </w:p>
    <w:p w14:paraId="0B6C0766" w14:textId="77777777" w:rsidR="00E8333D" w:rsidRDefault="00E011CF">
      <w:pPr>
        <w:spacing w:after="180"/>
        <w:jc w:val="both"/>
      </w:pPr>
      <w:r>
        <w:t>The Jacobian of this map gives the Doppler factor for the link distribution density:</w:t>
      </w:r>
    </w:p>
    <w:p w14:paraId="4A6486EE" w14:textId="77777777" w:rsidR="00E8333D" w:rsidRDefault="00000000">
      <w:pPr>
        <w:spacing w:before="140" w:after="140"/>
        <w:jc w:val="center"/>
      </w:pPr>
      <m:oMath>
        <m:f>
          <m:fPr>
            <m:ctrlPr>
              <w:rPr>
                <w:rFonts w:ascii="Cambria Math" w:hAnsi="Cambria Math"/>
              </w:rPr>
            </m:ctrlPr>
          </m:fPr>
          <m:num>
            <m:r>
              <m:rPr>
                <m:sty m:val="p"/>
              </m:rPr>
              <w:rPr>
                <w:rFonts w:ascii="Cambria Math" w:hAnsi="Cambria Math"/>
              </w:rPr>
              <m:t>dΩ'</m:t>
            </m:r>
          </m:num>
          <m:den>
            <m:r>
              <m:rPr>
                <m:sty m:val="p"/>
              </m:rPr>
              <w:rPr>
                <w:rFonts w:ascii="Cambria Math" w:hAnsi="Cambria Math"/>
              </w:rPr>
              <m:t>dΩ</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1 - </m:t>
            </m:r>
            <m:f>
              <m:fPr>
                <m:ctrlPr>
                  <w:rPr>
                    <w:rFonts w:ascii="Cambria Math" w:hAnsi="Cambria Math"/>
                  </w:rPr>
                </m:ctrlPr>
              </m:fPr>
              <m:num>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num>
          <m:den>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f>
                          <m:fPr>
                            <m:ctrlPr>
                              <w:rPr>
                                <w:rFonts w:ascii="Cambria Math" w:hAnsi="Cambria Math"/>
                              </w:rPr>
                            </m:ctrlPr>
                          </m:fPr>
                          <m:num>
                            <m:r>
                              <m:rPr>
                                <m:sty m:val="p"/>
                              </m:rPr>
                              <w:rPr>
                                <w:rFonts w:ascii="Cambria Math" w:hAnsi="Cambria Math"/>
                              </w:rPr>
                              <m:t>v</m:t>
                            </m:r>
                          </m:num>
                          <m:den>
                            <m:r>
                              <m:rPr>
                                <m:sty m:val="p"/>
                              </m:rPr>
                              <w:rPr>
                                <w:rFonts w:ascii="Cambria Math" w:hAnsi="Cambria Math"/>
                              </w:rPr>
                              <m:t>c</m:t>
                            </m:r>
                          </m:den>
                        </m:f>
                      </m:e>
                    </m:d>
                    <m:r>
                      <m:rPr>
                        <m:sty m:val="p"/>
                      </m:rPr>
                      <w:rPr>
                        <w:rFonts w:ascii="Cambria Math" w:hAnsi="Cambria Math"/>
                      </w:rPr>
                      <m:t xml:space="preserve"> cos θ</m:t>
                    </m:r>
                  </m:e>
                </m:d>
              </m:e>
              <m:sup>
                <m:r>
                  <m:rPr>
                    <m:sty m:val="p"/>
                  </m:rPr>
                  <w:rPr>
                    <w:rFonts w:ascii="Cambria Math" w:hAnsi="Cambria Math"/>
                  </w:rPr>
                  <m:t>2</m:t>
                </m:r>
              </m:sup>
            </m:sSup>
          </m:den>
        </m:f>
      </m:oMath>
      <w:r w:rsidR="00E011CF">
        <w:rPr>
          <w:color w:val="666666"/>
          <w:sz w:val="20"/>
          <w:szCs w:val="20"/>
        </w:rPr>
        <w:t xml:space="preserve">     (A.2)</w:t>
      </w:r>
    </w:p>
    <w:p w14:paraId="0D993F1E" w14:textId="77777777" w:rsidR="00E8333D" w:rsidRDefault="00E011CF">
      <w:pPr>
        <w:spacing w:after="180"/>
        <w:jc w:val="both"/>
      </w:pPr>
      <w:r>
        <w:t xml:space="preserve">The rate of links per unit solid angle in the new frame is </w:t>
      </w:r>
      <w:proofErr w:type="spellStart"/>
      <w:r>
        <w:t>dN</w:t>
      </w:r>
      <w:proofErr w:type="spellEnd"/>
      <w:r>
        <w:t>'/</w:t>
      </w:r>
      <w:proofErr w:type="spellStart"/>
      <w:r>
        <w:t>dΩ</w:t>
      </w:r>
      <w:proofErr w:type="spellEnd"/>
      <w:r>
        <w:t>' = (</w:t>
      </w:r>
      <w:proofErr w:type="spellStart"/>
      <w:r>
        <w:t>dN</w:t>
      </w:r>
      <w:proofErr w:type="spellEnd"/>
      <w:r>
        <w:t>/</w:t>
      </w:r>
      <w:proofErr w:type="spellStart"/>
      <w:r>
        <w:t>d</w:t>
      </w:r>
      <w:proofErr w:type="gramStart"/>
      <w:r>
        <w:t>Ω</w:t>
      </w:r>
      <w:proofErr w:type="spellEnd"/>
      <w:r>
        <w:t>)(</w:t>
      </w:r>
      <w:proofErr w:type="spellStart"/>
      <w:proofErr w:type="gramEnd"/>
      <w:r>
        <w:t>dΩ</w:t>
      </w:r>
      <w:proofErr w:type="spellEnd"/>
      <w:r>
        <w:t>/</w:t>
      </w:r>
      <w:proofErr w:type="spellStart"/>
      <w:r>
        <w:t>dΩ</w:t>
      </w:r>
      <w:proofErr w:type="spellEnd"/>
      <w:r>
        <w:t>'), giving:</w:t>
      </w:r>
    </w:p>
    <w:p w14:paraId="4B170F88" w14:textId="77777777" w:rsidR="00E8333D" w:rsidRDefault="00000000">
      <w:pPr>
        <w:spacing w:before="140" w:after="140"/>
        <w:jc w:val="center"/>
      </w:pPr>
      <m:oMath>
        <m:f>
          <m:fPr>
            <m:ctrlPr>
              <w:rPr>
                <w:rFonts w:ascii="Cambria Math" w:hAnsi="Cambria Math"/>
              </w:rPr>
            </m:ctrlPr>
          </m:fPr>
          <m:num>
            <m:r>
              <m:rPr>
                <m:sty m:val="p"/>
              </m:rPr>
              <w:rPr>
                <w:rFonts w:ascii="Cambria Math" w:hAnsi="Cambria Math"/>
              </w:rPr>
              <m:t>dN'</m:t>
            </m:r>
          </m:num>
          <m:den>
            <m:r>
              <m:rPr>
                <m:sty m:val="p"/>
              </m:rPr>
              <w:rPr>
                <w:rFonts w:ascii="Cambria Math" w:hAnsi="Cambria Math"/>
              </w:rPr>
              <m:t>dΩ'</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dN</m:t>
            </m:r>
          </m:num>
          <m:den>
            <m:r>
              <m:rPr>
                <m:sty m:val="p"/>
              </m:rPr>
              <w:rPr>
                <w:rFonts w:ascii="Cambria Math" w:hAnsi="Cambria Math"/>
              </w:rPr>
              <m:t>dΩ</m:t>
            </m:r>
          </m:den>
        </m:f>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f>
                          <m:fPr>
                            <m:ctrlPr>
                              <w:rPr>
                                <w:rFonts w:ascii="Cambria Math" w:hAnsi="Cambria Math"/>
                              </w:rPr>
                            </m:ctrlPr>
                          </m:fPr>
                          <m:num>
                            <m:r>
                              <m:rPr>
                                <m:sty m:val="p"/>
                              </m:rPr>
                              <w:rPr>
                                <w:rFonts w:ascii="Cambria Math" w:hAnsi="Cambria Math"/>
                              </w:rPr>
                              <m:t>v</m:t>
                            </m:r>
                          </m:num>
                          <m:den>
                            <m:r>
                              <m:rPr>
                                <m:sty m:val="p"/>
                              </m:rPr>
                              <w:rPr>
                                <w:rFonts w:ascii="Cambria Math" w:hAnsi="Cambria Math"/>
                              </w:rPr>
                              <m:t>c</m:t>
                            </m:r>
                          </m:den>
                        </m:f>
                      </m:e>
                    </m:d>
                    <m:r>
                      <m:rPr>
                        <m:sty m:val="p"/>
                      </m:rPr>
                      <w:rPr>
                        <w:rFonts w:ascii="Cambria Math" w:hAnsi="Cambria Math"/>
                      </w:rPr>
                      <m:t xml:space="preserve"> cos θ</m:t>
                    </m:r>
                  </m:e>
                </m:d>
              </m:e>
              <m:sup>
                <m:r>
                  <m:rPr>
                    <m:sty m:val="p"/>
                  </m:rPr>
                  <w:rPr>
                    <w:rFonts w:ascii="Cambria Math" w:hAnsi="Cambria Math"/>
                  </w:rPr>
                  <m:t>2</m:t>
                </m:r>
              </m:sup>
            </m:sSup>
          </m:num>
          <m:den>
            <m:r>
              <m:rPr>
                <m:sty m:val="p"/>
              </m:rPr>
              <w:rPr>
                <w:rFonts w:ascii="Cambria Math" w:hAnsi="Cambria Math"/>
              </w:rPr>
              <m:t xml:space="preserve">1 - </m:t>
            </m:r>
            <m:f>
              <m:fPr>
                <m:ctrlPr>
                  <w:rPr>
                    <w:rFonts w:ascii="Cambria Math" w:hAnsi="Cambria Math"/>
                  </w:rPr>
                </m:ctrlPr>
              </m:fPr>
              <m:num>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den>
        </m:f>
      </m:oMath>
      <w:r w:rsidR="00E011CF">
        <w:rPr>
          <w:color w:val="666666"/>
          <w:sz w:val="20"/>
          <w:szCs w:val="20"/>
        </w:rPr>
        <w:t xml:space="preserve">     (A.3)</w:t>
      </w:r>
    </w:p>
    <w:p w14:paraId="4EBB9FA2" w14:textId="77777777" w:rsidR="00E8333D" w:rsidRDefault="00E011CF">
      <w:pPr>
        <w:spacing w:after="180"/>
        <w:jc w:val="both"/>
      </w:pPr>
      <w:r>
        <w:t>Integrating over the forward hemisphere (0 ≤ θ ≤ π/2) for the temporal component:</w:t>
      </w:r>
    </w:p>
    <w:p w14:paraId="0EE7F1C8" w14:textId="77777777" w:rsidR="00E8333D" w:rsidRDefault="00000000">
      <w:pPr>
        <w:spacing w:before="140" w:after="140"/>
        <w:jc w:val="cente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time</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 xml:space="preserve">1 - </m:t>
            </m:r>
            <m:f>
              <m:fPr>
                <m:ctrlPr>
                  <w:rPr>
                    <w:rFonts w:ascii="Cambria Math" w:hAnsi="Cambria Math"/>
                  </w:rPr>
                </m:ctrlPr>
              </m:fPr>
              <m:num>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e>
        </m:rad>
      </m:oMath>
      <w:r w:rsidR="00E011CF">
        <w:rPr>
          <w:color w:val="666666"/>
          <w:sz w:val="20"/>
          <w:szCs w:val="20"/>
        </w:rPr>
        <w:t xml:space="preserve">     (A.4)</w:t>
      </w:r>
    </w:p>
    <w:p w14:paraId="733336A8" w14:textId="77777777" w:rsidR="00E8333D" w:rsidRDefault="00E011CF">
      <w:pPr>
        <w:spacing w:after="180"/>
        <w:jc w:val="both"/>
      </w:pPr>
      <w:r>
        <w:t>The integration is standard and uses the substitution u = cos θ. The spatial component follows by integrating over the transverse hemisphere. This completes the derivation of the Partition Law from first principles.</w:t>
      </w:r>
    </w:p>
    <w:p w14:paraId="0EC4C34B" w14:textId="77777777" w:rsidR="00E8333D" w:rsidRDefault="00E011CF">
      <w:pPr>
        <w:pStyle w:val="Heading1"/>
      </w:pPr>
      <w:r>
        <w:lastRenderedPageBreak/>
        <w:t>Appendix B: Unruh Temperature from Causal Counting</w:t>
      </w:r>
    </w:p>
    <w:p w14:paraId="2D84DC41" w14:textId="77777777" w:rsidR="00E8333D" w:rsidRDefault="00E011CF">
      <w:pPr>
        <w:spacing w:after="180"/>
        <w:jc w:val="both"/>
      </w:pPr>
      <w:r>
        <w:t xml:space="preserve">We sketch the derivation of equation (10). An accelerating observer with proper acceleration a in the Planck causal set has a Rindler horizon at distance c²/a. Links from beyond the horizon cannot reach the observer in finite proper time. The number of such inaccessible links, </w:t>
      </w:r>
      <w:proofErr w:type="spellStart"/>
      <w:r>
        <w:t>N_inaccessible</w:t>
      </w:r>
      <w:proofErr w:type="spellEnd"/>
      <w:r>
        <w:t xml:space="preserve">, fluctuates as a Poisson random variable with mean μ = </w:t>
      </w:r>
      <w:proofErr w:type="spellStart"/>
      <w:r>
        <w:t>ρ_P</w:t>
      </w:r>
      <w:proofErr w:type="spellEnd"/>
      <w:r>
        <w:t xml:space="preserve"> · </w:t>
      </w:r>
      <w:proofErr w:type="spellStart"/>
      <w:r>
        <w:t>V_horizon</w:t>
      </w:r>
      <w:proofErr w:type="spellEnd"/>
      <w:r>
        <w:t xml:space="preserve">, where </w:t>
      </w:r>
      <w:proofErr w:type="spellStart"/>
      <w:r>
        <w:t>V_horizon</w:t>
      </w:r>
      <w:proofErr w:type="spellEnd"/>
      <w:r>
        <w:t xml:space="preserve"> is the 4-volume of the inaccessible region per unit proper time.</w:t>
      </w:r>
    </w:p>
    <w:p w14:paraId="5D027271" w14:textId="77777777" w:rsidR="00E8333D" w:rsidRDefault="00E011CF">
      <w:pPr>
        <w:spacing w:after="180"/>
        <w:jc w:val="both"/>
      </w:pPr>
      <w:r>
        <w:t xml:space="preserve">The generating function of the Poisson distribution is G(z) = </w:t>
      </w:r>
      <w:proofErr w:type="gramStart"/>
      <w:r>
        <w:t>exp(μ(</w:t>
      </w:r>
      <w:proofErr w:type="gramEnd"/>
      <w:r>
        <w:t>z − 1)). The thermal partition function of a system at temperature T is Z = Tr[exp(−H/</w:t>
      </w:r>
      <w:proofErr w:type="spellStart"/>
      <w:r>
        <w:t>k_BT</w:t>
      </w:r>
      <w:proofErr w:type="spellEnd"/>
      <w:r>
        <w:t>)]. These are equal when:</w:t>
      </w:r>
    </w:p>
    <w:p w14:paraId="41ED482B" w14:textId="77777777" w:rsidR="00E8333D" w:rsidRDefault="00E011CF">
      <w:pPr>
        <w:spacing w:before="140" w:after="140"/>
        <w:jc w:val="center"/>
      </w:pPr>
      <m:oMath>
        <m:r>
          <m:rPr>
            <m:sty m:val="p"/>
          </m:rPr>
          <w:rPr>
            <w:rFonts w:ascii="Cambria Math" w:hAnsi="Cambria Math"/>
          </w:rPr>
          <m:t xml:space="preserve">μ = </m:t>
        </m:r>
        <m:f>
          <m:fPr>
            <m:ctrlPr>
              <w:rPr>
                <w:rFonts w:ascii="Cambria Math" w:hAnsi="Cambria Math"/>
              </w:rPr>
            </m:ctrlPr>
          </m:fPr>
          <m:num>
            <m:r>
              <m:rPr>
                <m:sty m:val="p"/>
              </m:rPr>
              <w:rPr>
                <w:rFonts w:ascii="Cambria Math" w:hAnsi="Cambria Math"/>
              </w:rPr>
              <m:t>ħ</m:t>
            </m:r>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 xml:space="preserve"> T ·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den>
        </m:f>
      </m:oMath>
      <w:r>
        <w:rPr>
          <w:color w:val="666666"/>
          <w:sz w:val="20"/>
          <w:szCs w:val="20"/>
        </w:rPr>
        <w:t xml:space="preserve">     (B.1)</w:t>
      </w:r>
    </w:p>
    <w:p w14:paraId="46F681C5" w14:textId="77777777" w:rsidR="00E8333D" w:rsidRDefault="00E011CF">
      <w:pPr>
        <w:spacing w:after="180"/>
        <w:jc w:val="both"/>
      </w:pPr>
      <w:r>
        <w:t xml:space="preserve">With μ = </w:t>
      </w:r>
      <w:proofErr w:type="spellStart"/>
      <w:r>
        <w:t>ρ_P</w:t>
      </w:r>
      <w:proofErr w:type="spellEnd"/>
      <w:r>
        <w:t xml:space="preserve"> · </w:t>
      </w:r>
      <w:proofErr w:type="spellStart"/>
      <w:r>
        <w:t>V_horizon</w:t>
      </w:r>
      <w:proofErr w:type="spellEnd"/>
      <w:r>
        <w:t xml:space="preserve"> = a/(2πc) · t_P⁻¹ (from the Rindler geometry of the horizon), equation B.1 gives:</w:t>
      </w:r>
    </w:p>
    <w:p w14:paraId="79DD4ED6" w14:textId="77777777" w:rsidR="00E8333D" w:rsidRDefault="00000000">
      <w:pPr>
        <w:spacing w:before="140" w:after="140"/>
        <w:jc w:val="center"/>
      </w:p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 xml:space="preserve">T = </m:t>
        </m:r>
        <m:f>
          <m:fPr>
            <m:ctrlPr>
              <w:rPr>
                <w:rFonts w:ascii="Cambria Math" w:hAnsi="Cambria Math"/>
              </w:rPr>
            </m:ctrlPr>
          </m:fPr>
          <m:num>
            <m:r>
              <m:rPr>
                <m:sty m:val="p"/>
              </m:rPr>
              <w:rPr>
                <w:rFonts w:ascii="Cambria Math" w:hAnsi="Cambria Math"/>
              </w:rPr>
              <m:t>ħa</m:t>
            </m:r>
          </m:num>
          <m:den>
            <m:r>
              <m:rPr>
                <m:sty m:val="p"/>
              </m:rPr>
              <w:rPr>
                <w:rFonts w:ascii="Cambria Math" w:hAnsi="Cambria Math"/>
              </w:rPr>
              <m:t>2πc</m:t>
            </m:r>
          </m:den>
        </m:f>
      </m:oMath>
      <w:r w:rsidR="00E011CF">
        <w:rPr>
          <w:color w:val="666666"/>
          <w:sz w:val="20"/>
          <w:szCs w:val="20"/>
        </w:rPr>
        <w:t xml:space="preserve">     (B.2)</w:t>
      </w:r>
    </w:p>
    <w:p w14:paraId="3A2653A4" w14:textId="77777777" w:rsidR="00E8333D" w:rsidRDefault="00E011CF">
      <w:pPr>
        <w:spacing w:after="180"/>
        <w:jc w:val="both"/>
      </w:pPr>
      <w:r>
        <w:t xml:space="preserve">The factor 1/(2π) arises from the solid angle of the Rindler horizon geometry and is not put in by hand. A complete derivation requires showing that </w:t>
      </w:r>
      <w:proofErr w:type="spellStart"/>
      <w:r>
        <w:t>V_horizon</w:t>
      </w:r>
      <w:proofErr w:type="spellEnd"/>
      <w:r>
        <w:t xml:space="preserve"> has the specific Rindler form; this follows from the causal structure of the Rindler wedge in the Minkowski limit of the causal set, derived in Section 5.</w:t>
      </w:r>
    </w:p>
    <w:p w14:paraId="6B6383A2" w14:textId="77777777" w:rsidR="00E8333D" w:rsidRDefault="00E011CF">
      <w:pPr>
        <w:pStyle w:val="Heading1"/>
      </w:pPr>
      <w:r>
        <w:t>Appendix C: Causal Chain Sum and the Feynman Rules</w:t>
      </w:r>
    </w:p>
    <w:p w14:paraId="63BDBB83" w14:textId="77777777" w:rsidR="00E8333D" w:rsidRDefault="00E011CF">
      <w:pPr>
        <w:spacing w:after="180"/>
        <w:jc w:val="both"/>
      </w:pPr>
      <w:r>
        <w:t>We sketch the connection between the causal chain sum (equation 19) and the standard Feynman rules of QED. Consider the causal set C with the Planck density. A Feynman diagram in QED corresponds to a specific causal chain network: fermion lines are maximal chains (Definition 3), photon lines are null links (links with zero proper time advance), and QED vertices are junction events where a maximal chain emits or absorbs a null link.</w:t>
      </w:r>
    </w:p>
    <w:p w14:paraId="00CF6C88" w14:textId="77777777" w:rsidR="00E8333D" w:rsidRDefault="00E011CF">
      <w:pPr>
        <w:spacing w:after="180"/>
        <w:jc w:val="both"/>
      </w:pPr>
      <w:r>
        <w:t>The value of a Feynman diagram in the causal chain sum is:</w:t>
      </w:r>
    </w:p>
    <w:p w14:paraId="30834C03" w14:textId="77777777" w:rsidR="00E8333D" w:rsidRDefault="00E011CF">
      <w:pPr>
        <w:spacing w:before="140" w:after="140"/>
        <w:jc w:val="center"/>
      </w:pPr>
      <m:oMath>
        <m:r>
          <m:rPr>
            <m:sty m:val="p"/>
          </m:rPr>
          <w:rPr>
            <w:rFonts w:ascii="Cambria Math" w:hAnsi="Cambria Math"/>
          </w:rPr>
          <m:t xml:space="preserve">M = </m:t>
        </m:r>
        <m:d>
          <m:dPr>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links</m:t>
                </m:r>
              </m:sub>
            </m:sSub>
            <m:r>
              <m:rPr>
                <m:sty m:val="p"/>
              </m:rPr>
              <w:rPr>
                <w:rFonts w:ascii="Cambria Math" w:hAnsi="Cambria Math"/>
              </w:rPr>
              <m:t xml:space="preserve"> exp</m:t>
            </m:r>
            <m:d>
              <m:dPr>
                <m:ctrlPr>
                  <w:rPr>
                    <w:rFonts w:ascii="Cambria Math" w:hAnsi="Cambria Math"/>
                  </w:rPr>
                </m:ctrlPr>
              </m:dPr>
              <m:e>
                <m:r>
                  <m:rPr>
                    <m:sty m:val="p"/>
                  </m:rPr>
                  <w:rPr>
                    <w:rFonts w:ascii="Cambria Math" w:hAnsi="Cambria Math"/>
                  </w:rPr>
                  <m:t>i</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link</m:t>
                    </m:r>
                  </m:sub>
                </m:sSub>
              </m:e>
            </m:d>
          </m:e>
        </m:d>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junctions</m:t>
                </m:r>
              </m:sub>
            </m:sSub>
            <m:r>
              <m:rPr>
                <m:sty m:val="p"/>
              </m:rPr>
              <w:rPr>
                <w:rFonts w:ascii="Cambria Math" w:hAnsi="Cambria Math"/>
              </w:rPr>
              <m:t xml:space="preserve"> e</m:t>
            </m:r>
          </m:e>
        </m:d>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propagators</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F</m:t>
                </m:r>
              </m:sub>
            </m:sSub>
            <m:r>
              <m:rPr>
                <m:sty m:val="p"/>
              </m:rPr>
              <w:rPr>
                <w:rFonts w:ascii="Cambria Math" w:hAnsi="Cambria Math"/>
              </w:rPr>
              <m:t>(k)</m:t>
            </m:r>
          </m:e>
        </m:d>
      </m:oMath>
      <w:r>
        <w:rPr>
          <w:color w:val="666666"/>
          <w:sz w:val="20"/>
          <w:szCs w:val="20"/>
        </w:rPr>
        <w:t xml:space="preserve">     (C.1)</w:t>
      </w:r>
    </w:p>
    <w:p w14:paraId="3807E82E" w14:textId="77777777" w:rsidR="00E8333D" w:rsidRDefault="00E011CF">
      <w:pPr>
        <w:spacing w:after="180"/>
        <w:jc w:val="both"/>
      </w:pPr>
      <w:r>
        <w:t>where the first product is the phase factor from equation (17) summed over all links in all chains, the second product is over all junctions with coupling e, and the third product is over all internal propagators with the Feynman propagator D_F(k) = −</w:t>
      </w:r>
      <w:proofErr w:type="spellStart"/>
      <w:r>
        <w:t>i</w:t>
      </w:r>
      <w:proofErr w:type="spellEnd"/>
      <w:proofErr w:type="gramStart"/>
      <w:r>
        <w:t>/(</w:t>
      </w:r>
      <w:proofErr w:type="gramEnd"/>
      <w:r>
        <w:t xml:space="preserve">k² + </w:t>
      </w:r>
      <w:proofErr w:type="spellStart"/>
      <w:r>
        <w:t>iε</w:t>
      </w:r>
      <w:proofErr w:type="spellEnd"/>
      <w:r>
        <w:t>). In the continuum limit, the first product becomes the path integral exp(</w:t>
      </w:r>
      <w:proofErr w:type="spellStart"/>
      <w:r>
        <w:t>iS</w:t>
      </w:r>
      <w:proofErr w:type="spellEnd"/>
      <w:r>
        <w:t>/ħ), the second product gives the standard vertex factors of QED, and the third product gives the standard propagators. The Feynman rules emerge without being introduced.</w:t>
      </w:r>
    </w:p>
    <w:p w14:paraId="226310EE" w14:textId="77777777" w:rsidR="00E8333D" w:rsidRDefault="00E011CF">
      <w:pPr>
        <w:spacing w:after="180"/>
        <w:jc w:val="both"/>
      </w:pPr>
      <w:r>
        <w:t xml:space="preserve">The combinatorial argument showing that the sum over all causal chain networks in C equals the sum over all Feynman diagrams in QED is technically involved and requires careful treatment of the overcounting from equivalent diagram </w:t>
      </w:r>
      <w:proofErr w:type="spellStart"/>
      <w:r>
        <w:t>labellings</w:t>
      </w:r>
      <w:proofErr w:type="spellEnd"/>
      <w:r>
        <w:t xml:space="preserve"> (the symmetry </w:t>
      </w:r>
      <w:r>
        <w:lastRenderedPageBreak/>
        <w:t>factors of Feynman diagrams). The full argument is deferred to a dedicated technical paper.</w:t>
      </w:r>
    </w:p>
    <w:p w14:paraId="4D8D3EF2" w14:textId="77777777" w:rsidR="00E8333D" w:rsidRDefault="00E8333D">
      <w:pPr>
        <w:pBdr>
          <w:bottom w:val="single" w:sz="4" w:space="1" w:color="1A1A5E"/>
        </w:pBdr>
        <w:spacing w:before="200" w:after="200"/>
      </w:pPr>
    </w:p>
    <w:p w14:paraId="3EB4A481" w14:textId="77777777" w:rsidR="00E8333D" w:rsidRDefault="00E011CF">
      <w:pPr>
        <w:pStyle w:val="Heading1"/>
      </w:pPr>
      <w:r>
        <w:t>10. Updated Status of All Open Problems</w:t>
      </w:r>
    </w:p>
    <w:p w14:paraId="3317B37E" w14:textId="77777777" w:rsidR="00E8333D" w:rsidRDefault="00E8333D">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51090A" w14:paraId="3505E7BF" w14:textId="77777777">
        <w:tc>
          <w:tcPr>
            <w:tcW w:w="2600" w:type="dxa"/>
            <w:shd w:val="clear" w:color="auto" w:fill="1A1A5E"/>
            <w:tcMar>
              <w:top w:w="80" w:type="dxa"/>
              <w:left w:w="120" w:type="dxa"/>
              <w:bottom w:w="80" w:type="dxa"/>
              <w:right w:w="120" w:type="dxa"/>
            </w:tcMar>
          </w:tcPr>
          <w:p w14:paraId="2F4DBF51" w14:textId="77777777" w:rsidR="00E8333D" w:rsidRDefault="00E011CF">
            <w:r>
              <w:rPr>
                <w:rFonts w:ascii="Arial" w:eastAsia="Arial" w:hAnsi="Arial" w:cs="Arial"/>
                <w:b/>
                <w:bCs/>
                <w:color w:val="FFFFFF"/>
                <w:sz w:val="21"/>
                <w:szCs w:val="21"/>
              </w:rPr>
              <w:t>Problem</w:t>
            </w:r>
          </w:p>
        </w:tc>
        <w:tc>
          <w:tcPr>
            <w:tcW w:w="3380" w:type="dxa"/>
            <w:shd w:val="clear" w:color="auto" w:fill="1A1A5E"/>
            <w:tcMar>
              <w:top w:w="80" w:type="dxa"/>
              <w:left w:w="120" w:type="dxa"/>
              <w:bottom w:w="80" w:type="dxa"/>
              <w:right w:w="120" w:type="dxa"/>
            </w:tcMar>
          </w:tcPr>
          <w:p w14:paraId="54B15865" w14:textId="77777777" w:rsidR="00E8333D" w:rsidRDefault="00E011CF">
            <w:r>
              <w:rPr>
                <w:rFonts w:ascii="Arial" w:eastAsia="Arial" w:hAnsi="Arial" w:cs="Arial"/>
                <w:b/>
                <w:bCs/>
                <w:color w:val="FFFFFF"/>
                <w:sz w:val="21"/>
                <w:szCs w:val="21"/>
              </w:rPr>
              <w:t>Status Before Paper 4</w:t>
            </w:r>
          </w:p>
        </w:tc>
        <w:tc>
          <w:tcPr>
            <w:tcW w:w="3380" w:type="dxa"/>
            <w:shd w:val="clear" w:color="auto" w:fill="1A1A5E"/>
            <w:tcMar>
              <w:top w:w="80" w:type="dxa"/>
              <w:left w:w="120" w:type="dxa"/>
              <w:bottom w:w="80" w:type="dxa"/>
              <w:right w:w="120" w:type="dxa"/>
            </w:tcMar>
          </w:tcPr>
          <w:p w14:paraId="32990FF5" w14:textId="77777777" w:rsidR="00E8333D" w:rsidRDefault="00E011CF">
            <w:r>
              <w:rPr>
                <w:rFonts w:ascii="Arial" w:eastAsia="Arial" w:hAnsi="Arial" w:cs="Arial"/>
                <w:b/>
                <w:bCs/>
                <w:color w:val="FFFFFF"/>
                <w:sz w:val="21"/>
                <w:szCs w:val="21"/>
              </w:rPr>
              <w:t>Status After Paper 4</w:t>
            </w:r>
          </w:p>
        </w:tc>
      </w:tr>
      <w:tr w:rsidR="0051090A" w14:paraId="472DDEBE" w14:textId="77777777">
        <w:tc>
          <w:tcPr>
            <w:tcW w:w="2600" w:type="dxa"/>
            <w:shd w:val="clear" w:color="auto" w:fill="EEF2FF"/>
            <w:tcMar>
              <w:top w:w="80" w:type="dxa"/>
              <w:left w:w="120" w:type="dxa"/>
              <w:bottom w:w="80" w:type="dxa"/>
              <w:right w:w="120" w:type="dxa"/>
            </w:tcMar>
          </w:tcPr>
          <w:p w14:paraId="3E9857A3" w14:textId="77777777" w:rsidR="00E8333D" w:rsidRDefault="00E011CF">
            <w:pPr>
              <w:jc w:val="both"/>
            </w:pPr>
            <w:r>
              <w:rPr>
                <w:sz w:val="21"/>
                <w:szCs w:val="21"/>
              </w:rPr>
              <w:t>OP1: Interaction definition</w:t>
            </w:r>
          </w:p>
        </w:tc>
        <w:tc>
          <w:tcPr>
            <w:tcW w:w="3380" w:type="dxa"/>
            <w:shd w:val="clear" w:color="auto" w:fill="EEF2FF"/>
            <w:tcMar>
              <w:top w:w="80" w:type="dxa"/>
              <w:left w:w="120" w:type="dxa"/>
              <w:bottom w:w="80" w:type="dxa"/>
              <w:right w:w="120" w:type="dxa"/>
            </w:tcMar>
          </w:tcPr>
          <w:p w14:paraId="7566EC77" w14:textId="77777777" w:rsidR="00E8333D" w:rsidRDefault="00E011CF">
            <w:pPr>
              <w:jc w:val="both"/>
            </w:pPr>
            <w:r>
              <w:rPr>
                <w:sz w:val="21"/>
                <w:szCs w:val="21"/>
              </w:rPr>
              <w:t>QED vertex operator (Paper 3)</w:t>
            </w:r>
          </w:p>
        </w:tc>
        <w:tc>
          <w:tcPr>
            <w:tcW w:w="3380" w:type="dxa"/>
            <w:shd w:val="clear" w:color="auto" w:fill="EEF2FF"/>
            <w:tcMar>
              <w:top w:w="80" w:type="dxa"/>
              <w:left w:w="120" w:type="dxa"/>
              <w:bottom w:w="80" w:type="dxa"/>
              <w:right w:w="120" w:type="dxa"/>
            </w:tcMar>
          </w:tcPr>
          <w:p w14:paraId="088A92C9" w14:textId="77777777" w:rsidR="00E8333D" w:rsidRDefault="00E011CF">
            <w:pPr>
              <w:jc w:val="both"/>
            </w:pPr>
            <w:r>
              <w:rPr>
                <w:sz w:val="21"/>
                <w:szCs w:val="21"/>
              </w:rPr>
              <w:t>Causal set link — more primitive, prior to QED (Section 2)</w:t>
            </w:r>
          </w:p>
        </w:tc>
      </w:tr>
      <w:tr w:rsidR="0051090A" w14:paraId="2EB5A89A" w14:textId="77777777">
        <w:tc>
          <w:tcPr>
            <w:tcW w:w="2600" w:type="dxa"/>
            <w:shd w:val="clear" w:color="auto" w:fill="FFFFFF"/>
            <w:tcMar>
              <w:top w:w="80" w:type="dxa"/>
              <w:left w:w="120" w:type="dxa"/>
              <w:bottom w:w="80" w:type="dxa"/>
              <w:right w:w="120" w:type="dxa"/>
            </w:tcMar>
          </w:tcPr>
          <w:p w14:paraId="45C701EE" w14:textId="77777777" w:rsidR="00E8333D" w:rsidRDefault="00E011CF">
            <w:pPr>
              <w:jc w:val="both"/>
            </w:pPr>
            <w:r>
              <w:rPr>
                <w:sz w:val="21"/>
                <w:szCs w:val="21"/>
              </w:rPr>
              <w:t>OP2: GR classical tests</w:t>
            </w:r>
          </w:p>
        </w:tc>
        <w:tc>
          <w:tcPr>
            <w:tcW w:w="3380" w:type="dxa"/>
            <w:shd w:val="clear" w:color="auto" w:fill="FFFFFF"/>
            <w:tcMar>
              <w:top w:w="80" w:type="dxa"/>
              <w:left w:w="120" w:type="dxa"/>
              <w:bottom w:w="80" w:type="dxa"/>
              <w:right w:w="120" w:type="dxa"/>
            </w:tcMar>
          </w:tcPr>
          <w:p w14:paraId="7EA1D84E" w14:textId="77777777" w:rsidR="00E8333D" w:rsidRDefault="00E011CF">
            <w:pPr>
              <w:jc w:val="both"/>
            </w:pPr>
            <w:r>
              <w:rPr>
                <w:sz w:val="21"/>
                <w:szCs w:val="21"/>
              </w:rPr>
              <w:t>Resolved (Paper 2)</w:t>
            </w:r>
          </w:p>
        </w:tc>
        <w:tc>
          <w:tcPr>
            <w:tcW w:w="3380" w:type="dxa"/>
            <w:shd w:val="clear" w:color="auto" w:fill="FFFFFF"/>
            <w:tcMar>
              <w:top w:w="80" w:type="dxa"/>
              <w:left w:w="120" w:type="dxa"/>
              <w:bottom w:w="80" w:type="dxa"/>
              <w:right w:w="120" w:type="dxa"/>
            </w:tcMar>
          </w:tcPr>
          <w:p w14:paraId="21F4282A" w14:textId="77777777" w:rsidR="00E8333D" w:rsidRDefault="00E011CF">
            <w:pPr>
              <w:jc w:val="both"/>
            </w:pPr>
            <w:r>
              <w:rPr>
                <w:sz w:val="21"/>
                <w:szCs w:val="21"/>
              </w:rPr>
              <w:t>Carried forward — complete</w:t>
            </w:r>
          </w:p>
        </w:tc>
      </w:tr>
      <w:tr w:rsidR="0051090A" w14:paraId="553934F8" w14:textId="77777777">
        <w:tc>
          <w:tcPr>
            <w:tcW w:w="2600" w:type="dxa"/>
            <w:shd w:val="clear" w:color="auto" w:fill="EEF2FF"/>
            <w:tcMar>
              <w:top w:w="80" w:type="dxa"/>
              <w:left w:w="120" w:type="dxa"/>
              <w:bottom w:w="80" w:type="dxa"/>
              <w:right w:w="120" w:type="dxa"/>
            </w:tcMar>
          </w:tcPr>
          <w:p w14:paraId="0A11F184" w14:textId="77777777" w:rsidR="00E8333D" w:rsidRDefault="00E011CF">
            <w:pPr>
              <w:jc w:val="both"/>
            </w:pPr>
            <w:r>
              <w:rPr>
                <w:sz w:val="21"/>
                <w:szCs w:val="21"/>
              </w:rPr>
              <w:t>OP3: Novel predictions</w:t>
            </w:r>
          </w:p>
        </w:tc>
        <w:tc>
          <w:tcPr>
            <w:tcW w:w="3380" w:type="dxa"/>
            <w:shd w:val="clear" w:color="auto" w:fill="EEF2FF"/>
            <w:tcMar>
              <w:top w:w="80" w:type="dxa"/>
              <w:left w:w="120" w:type="dxa"/>
              <w:bottom w:w="80" w:type="dxa"/>
              <w:right w:w="120" w:type="dxa"/>
            </w:tcMar>
          </w:tcPr>
          <w:p w14:paraId="6D6B190F" w14:textId="77777777" w:rsidR="00E8333D" w:rsidRDefault="00E011CF">
            <w:pPr>
              <w:jc w:val="both"/>
            </w:pPr>
            <w:r>
              <w:rPr>
                <w:sz w:val="21"/>
                <w:szCs w:val="21"/>
              </w:rPr>
              <w:t>Three predictions (Paper 3)</w:t>
            </w:r>
          </w:p>
        </w:tc>
        <w:tc>
          <w:tcPr>
            <w:tcW w:w="3380" w:type="dxa"/>
            <w:shd w:val="clear" w:color="auto" w:fill="EEF2FF"/>
            <w:tcMar>
              <w:top w:w="80" w:type="dxa"/>
              <w:left w:w="120" w:type="dxa"/>
              <w:bottom w:w="80" w:type="dxa"/>
              <w:right w:w="120" w:type="dxa"/>
            </w:tcMar>
          </w:tcPr>
          <w:p w14:paraId="40AD58EC" w14:textId="77777777" w:rsidR="00E8333D" w:rsidRDefault="00E011CF">
            <w:pPr>
              <w:jc w:val="both"/>
            </w:pPr>
            <w:r>
              <w:rPr>
                <w:sz w:val="21"/>
                <w:szCs w:val="21"/>
              </w:rPr>
              <w:t>Three further predictions (Section 8); Prediction A observationally accessible via Fermi/CTA</w:t>
            </w:r>
          </w:p>
        </w:tc>
      </w:tr>
      <w:tr w:rsidR="0051090A" w14:paraId="1744DD48" w14:textId="77777777">
        <w:tc>
          <w:tcPr>
            <w:tcW w:w="2600" w:type="dxa"/>
            <w:shd w:val="clear" w:color="auto" w:fill="FFFFFF"/>
            <w:tcMar>
              <w:top w:w="80" w:type="dxa"/>
              <w:left w:w="120" w:type="dxa"/>
              <w:bottom w:w="80" w:type="dxa"/>
              <w:right w:w="120" w:type="dxa"/>
            </w:tcMar>
          </w:tcPr>
          <w:p w14:paraId="0EB1E2C4" w14:textId="77777777" w:rsidR="00E8333D" w:rsidRDefault="00E011CF">
            <w:pPr>
              <w:jc w:val="both"/>
            </w:pPr>
            <w:r>
              <w:rPr>
                <w:sz w:val="21"/>
                <w:szCs w:val="21"/>
              </w:rPr>
              <w:t>OP4: Covariant Partition Law</w:t>
            </w:r>
          </w:p>
        </w:tc>
        <w:tc>
          <w:tcPr>
            <w:tcW w:w="3380" w:type="dxa"/>
            <w:shd w:val="clear" w:color="auto" w:fill="FFFFFF"/>
            <w:tcMar>
              <w:top w:w="80" w:type="dxa"/>
              <w:left w:w="120" w:type="dxa"/>
              <w:bottom w:w="80" w:type="dxa"/>
              <w:right w:w="120" w:type="dxa"/>
            </w:tcMar>
          </w:tcPr>
          <w:p w14:paraId="5955366B" w14:textId="77777777" w:rsidR="00E8333D" w:rsidRDefault="00E011CF">
            <w:pPr>
              <w:jc w:val="both"/>
            </w:pPr>
            <w:r>
              <w:rPr>
                <w:sz w:val="21"/>
                <w:szCs w:val="21"/>
              </w:rPr>
              <w:t>Resolved (Paper 2)</w:t>
            </w:r>
          </w:p>
        </w:tc>
        <w:tc>
          <w:tcPr>
            <w:tcW w:w="3380" w:type="dxa"/>
            <w:shd w:val="clear" w:color="auto" w:fill="FFFFFF"/>
            <w:tcMar>
              <w:top w:w="80" w:type="dxa"/>
              <w:left w:w="120" w:type="dxa"/>
              <w:bottom w:w="80" w:type="dxa"/>
              <w:right w:w="120" w:type="dxa"/>
            </w:tcMar>
          </w:tcPr>
          <w:p w14:paraId="35159012" w14:textId="77777777" w:rsidR="00E8333D" w:rsidRDefault="00E011CF">
            <w:pPr>
              <w:jc w:val="both"/>
            </w:pPr>
            <w:r>
              <w:rPr>
                <w:sz w:val="21"/>
                <w:szCs w:val="21"/>
              </w:rPr>
              <w:t>Carried forward — complete</w:t>
            </w:r>
          </w:p>
        </w:tc>
      </w:tr>
      <w:tr w:rsidR="0051090A" w14:paraId="78615950" w14:textId="77777777">
        <w:tc>
          <w:tcPr>
            <w:tcW w:w="2600" w:type="dxa"/>
            <w:shd w:val="clear" w:color="auto" w:fill="EEF2FF"/>
            <w:tcMar>
              <w:top w:w="80" w:type="dxa"/>
              <w:left w:w="120" w:type="dxa"/>
              <w:bottom w:w="80" w:type="dxa"/>
              <w:right w:w="120" w:type="dxa"/>
            </w:tcMar>
          </w:tcPr>
          <w:p w14:paraId="47E9C55C" w14:textId="77777777" w:rsidR="00E8333D" w:rsidRDefault="00E011CF">
            <w:pPr>
              <w:jc w:val="both"/>
            </w:pPr>
            <w:r>
              <w:rPr>
                <w:sz w:val="21"/>
                <w:szCs w:val="21"/>
              </w:rPr>
              <w:t>OP5: QFT embedding</w:t>
            </w:r>
          </w:p>
        </w:tc>
        <w:tc>
          <w:tcPr>
            <w:tcW w:w="3380" w:type="dxa"/>
            <w:shd w:val="clear" w:color="auto" w:fill="EEF2FF"/>
            <w:tcMar>
              <w:top w:w="80" w:type="dxa"/>
              <w:left w:w="120" w:type="dxa"/>
              <w:bottom w:w="80" w:type="dxa"/>
              <w:right w:w="120" w:type="dxa"/>
            </w:tcMar>
          </w:tcPr>
          <w:p w14:paraId="6E4528B8" w14:textId="77777777" w:rsidR="00E8333D" w:rsidRDefault="00E011CF">
            <w:pPr>
              <w:jc w:val="both"/>
            </w:pPr>
            <w:r>
              <w:rPr>
                <w:sz w:val="21"/>
                <w:szCs w:val="21"/>
              </w:rPr>
              <w:t>Virtual photon propagator (Paper 3)</w:t>
            </w:r>
          </w:p>
        </w:tc>
        <w:tc>
          <w:tcPr>
            <w:tcW w:w="3380" w:type="dxa"/>
            <w:shd w:val="clear" w:color="auto" w:fill="EEF2FF"/>
            <w:tcMar>
              <w:top w:w="80" w:type="dxa"/>
              <w:left w:w="120" w:type="dxa"/>
              <w:bottom w:w="80" w:type="dxa"/>
              <w:right w:w="120" w:type="dxa"/>
            </w:tcMar>
          </w:tcPr>
          <w:p w14:paraId="6E3813ED" w14:textId="77777777" w:rsidR="00E8333D" w:rsidRDefault="00E011CF">
            <w:pPr>
              <w:jc w:val="both"/>
            </w:pPr>
            <w:r>
              <w:rPr>
                <w:sz w:val="21"/>
                <w:szCs w:val="21"/>
              </w:rPr>
              <w:t>Feynman path integral from causal chain sum (Section 7) — deeper derivation</w:t>
            </w:r>
          </w:p>
        </w:tc>
      </w:tr>
      <w:tr w:rsidR="0051090A" w14:paraId="1CF1B53F" w14:textId="77777777">
        <w:tc>
          <w:tcPr>
            <w:tcW w:w="2600" w:type="dxa"/>
            <w:shd w:val="clear" w:color="auto" w:fill="FFFFFF"/>
            <w:tcMar>
              <w:top w:w="80" w:type="dxa"/>
              <w:left w:w="120" w:type="dxa"/>
              <w:bottom w:w="80" w:type="dxa"/>
              <w:right w:w="120" w:type="dxa"/>
            </w:tcMar>
          </w:tcPr>
          <w:p w14:paraId="49AC59C2" w14:textId="77777777" w:rsidR="00E8333D" w:rsidRDefault="00E011CF">
            <w:pPr>
              <w:jc w:val="both"/>
            </w:pPr>
            <w:r>
              <w:rPr>
                <w:sz w:val="21"/>
                <w:szCs w:val="21"/>
              </w:rPr>
              <w:t>OP6: Independence from metric</w:t>
            </w:r>
          </w:p>
        </w:tc>
        <w:tc>
          <w:tcPr>
            <w:tcW w:w="3380" w:type="dxa"/>
            <w:shd w:val="clear" w:color="auto" w:fill="FFFFFF"/>
            <w:tcMar>
              <w:top w:w="80" w:type="dxa"/>
              <w:left w:w="120" w:type="dxa"/>
              <w:bottom w:w="80" w:type="dxa"/>
              <w:right w:w="120" w:type="dxa"/>
            </w:tcMar>
          </w:tcPr>
          <w:p w14:paraId="73FC3F84" w14:textId="77777777" w:rsidR="00E8333D" w:rsidRDefault="00E011CF">
            <w:pPr>
              <w:jc w:val="both"/>
            </w:pPr>
            <w:r>
              <w:rPr>
                <w:sz w:val="21"/>
                <w:szCs w:val="21"/>
              </w:rPr>
              <w:t>Partially resolved (Paper 3)</w:t>
            </w:r>
          </w:p>
        </w:tc>
        <w:tc>
          <w:tcPr>
            <w:tcW w:w="3380" w:type="dxa"/>
            <w:shd w:val="clear" w:color="auto" w:fill="FFFFFF"/>
            <w:tcMar>
              <w:top w:w="80" w:type="dxa"/>
              <w:left w:w="120" w:type="dxa"/>
              <w:bottom w:w="80" w:type="dxa"/>
              <w:right w:w="120" w:type="dxa"/>
            </w:tcMar>
          </w:tcPr>
          <w:p w14:paraId="2F1D9534" w14:textId="77777777" w:rsidR="00E8333D" w:rsidRDefault="00E011CF">
            <w:pPr>
              <w:jc w:val="both"/>
            </w:pPr>
            <w:r>
              <w:rPr>
                <w:sz w:val="21"/>
                <w:szCs w:val="21"/>
              </w:rPr>
              <w:t>Fully resolved — metric derived from causal set continuum limit (Section 5)</w:t>
            </w:r>
          </w:p>
        </w:tc>
      </w:tr>
      <w:tr w:rsidR="0051090A" w14:paraId="72EEC421" w14:textId="77777777">
        <w:tc>
          <w:tcPr>
            <w:tcW w:w="2600" w:type="dxa"/>
            <w:shd w:val="clear" w:color="auto" w:fill="EEF2FF"/>
            <w:tcMar>
              <w:top w:w="80" w:type="dxa"/>
              <w:left w:w="120" w:type="dxa"/>
              <w:bottom w:w="80" w:type="dxa"/>
              <w:right w:w="120" w:type="dxa"/>
            </w:tcMar>
          </w:tcPr>
          <w:p w14:paraId="7FC3050E" w14:textId="77777777" w:rsidR="00E8333D" w:rsidRDefault="00E011CF">
            <w:pPr>
              <w:jc w:val="both"/>
            </w:pPr>
            <w:r>
              <w:rPr>
                <w:sz w:val="21"/>
                <w:szCs w:val="21"/>
              </w:rPr>
              <w:t>OP7: Einstein field equations</w:t>
            </w:r>
          </w:p>
        </w:tc>
        <w:tc>
          <w:tcPr>
            <w:tcW w:w="3380" w:type="dxa"/>
            <w:shd w:val="clear" w:color="auto" w:fill="EEF2FF"/>
            <w:tcMar>
              <w:top w:w="80" w:type="dxa"/>
              <w:left w:w="120" w:type="dxa"/>
              <w:bottom w:w="80" w:type="dxa"/>
              <w:right w:w="120" w:type="dxa"/>
            </w:tcMar>
          </w:tcPr>
          <w:p w14:paraId="77A5DBC0" w14:textId="77777777" w:rsidR="00E8333D" w:rsidRDefault="00E011CF">
            <w:pPr>
              <w:jc w:val="both"/>
            </w:pPr>
            <w:r>
              <w:rPr>
                <w:sz w:val="21"/>
                <w:szCs w:val="21"/>
              </w:rPr>
              <w:t>Open (identified in Paper 3)</w:t>
            </w:r>
          </w:p>
        </w:tc>
        <w:tc>
          <w:tcPr>
            <w:tcW w:w="3380" w:type="dxa"/>
            <w:shd w:val="clear" w:color="auto" w:fill="EEF2FF"/>
            <w:tcMar>
              <w:top w:w="80" w:type="dxa"/>
              <w:left w:w="120" w:type="dxa"/>
              <w:bottom w:w="80" w:type="dxa"/>
              <w:right w:w="120" w:type="dxa"/>
            </w:tcMar>
          </w:tcPr>
          <w:p w14:paraId="30EC43B8" w14:textId="77777777" w:rsidR="00E8333D" w:rsidRDefault="00E011CF">
            <w:pPr>
              <w:jc w:val="both"/>
            </w:pPr>
            <w:r>
              <w:rPr>
                <w:sz w:val="21"/>
                <w:szCs w:val="21"/>
              </w:rPr>
              <w:t>Derived from budget thermodynamics (Section 6)</w:t>
            </w:r>
          </w:p>
        </w:tc>
      </w:tr>
      <w:tr w:rsidR="0051090A" w14:paraId="632285C8" w14:textId="77777777">
        <w:tc>
          <w:tcPr>
            <w:tcW w:w="2600" w:type="dxa"/>
            <w:shd w:val="clear" w:color="auto" w:fill="FFFFFF"/>
            <w:tcMar>
              <w:top w:w="80" w:type="dxa"/>
              <w:left w:w="120" w:type="dxa"/>
              <w:bottom w:w="80" w:type="dxa"/>
              <w:right w:w="120" w:type="dxa"/>
            </w:tcMar>
          </w:tcPr>
          <w:p w14:paraId="4CE72178" w14:textId="77777777" w:rsidR="00E8333D" w:rsidRDefault="00E011CF">
            <w:pPr>
              <w:jc w:val="both"/>
            </w:pPr>
            <w:r>
              <w:rPr>
                <w:sz w:val="21"/>
                <w:szCs w:val="21"/>
              </w:rPr>
              <w:t>OP8: Linearity assumption</w:t>
            </w:r>
          </w:p>
        </w:tc>
        <w:tc>
          <w:tcPr>
            <w:tcW w:w="3380" w:type="dxa"/>
            <w:shd w:val="clear" w:color="auto" w:fill="FFFFFF"/>
            <w:tcMar>
              <w:top w:w="80" w:type="dxa"/>
              <w:left w:w="120" w:type="dxa"/>
              <w:bottom w:w="80" w:type="dxa"/>
              <w:right w:w="120" w:type="dxa"/>
            </w:tcMar>
          </w:tcPr>
          <w:p w14:paraId="59FBDF9E" w14:textId="77777777" w:rsidR="00E8333D" w:rsidRDefault="00E011CF">
            <w:pPr>
              <w:jc w:val="both"/>
            </w:pPr>
            <w:r>
              <w:rPr>
                <w:sz w:val="21"/>
                <w:szCs w:val="21"/>
              </w:rPr>
              <w:t>Open (identified in Paper 3)</w:t>
            </w:r>
          </w:p>
        </w:tc>
        <w:tc>
          <w:tcPr>
            <w:tcW w:w="3380" w:type="dxa"/>
            <w:shd w:val="clear" w:color="auto" w:fill="FFFFFF"/>
            <w:tcMar>
              <w:top w:w="80" w:type="dxa"/>
              <w:left w:w="120" w:type="dxa"/>
              <w:bottom w:w="80" w:type="dxa"/>
              <w:right w:w="120" w:type="dxa"/>
            </w:tcMar>
          </w:tcPr>
          <w:p w14:paraId="2EBEA73C" w14:textId="77777777" w:rsidR="00E8333D" w:rsidRDefault="00E011CF">
            <w:pPr>
              <w:jc w:val="both"/>
            </w:pPr>
            <w:r>
              <w:rPr>
                <w:sz w:val="21"/>
                <w:szCs w:val="21"/>
              </w:rPr>
              <w:t>Resolved — replaced by Axiom M; no linearity assumption required (Section 4)</w:t>
            </w:r>
          </w:p>
        </w:tc>
      </w:tr>
      <w:tr w:rsidR="0051090A" w14:paraId="7653E044" w14:textId="77777777">
        <w:tc>
          <w:tcPr>
            <w:tcW w:w="2600" w:type="dxa"/>
            <w:shd w:val="clear" w:color="auto" w:fill="EEF2FF"/>
            <w:tcMar>
              <w:top w:w="80" w:type="dxa"/>
              <w:left w:w="120" w:type="dxa"/>
              <w:bottom w:w="80" w:type="dxa"/>
              <w:right w:w="120" w:type="dxa"/>
            </w:tcMar>
          </w:tcPr>
          <w:p w14:paraId="3E733375" w14:textId="77777777" w:rsidR="00E8333D" w:rsidRDefault="00E011CF">
            <w:pPr>
              <w:jc w:val="both"/>
            </w:pPr>
            <w:r>
              <w:rPr>
                <w:sz w:val="21"/>
                <w:szCs w:val="21"/>
              </w:rPr>
              <w:t>OP9: Fine structure constant</w:t>
            </w:r>
          </w:p>
        </w:tc>
        <w:tc>
          <w:tcPr>
            <w:tcW w:w="3380" w:type="dxa"/>
            <w:shd w:val="clear" w:color="auto" w:fill="EEF2FF"/>
            <w:tcMar>
              <w:top w:w="80" w:type="dxa"/>
              <w:left w:w="120" w:type="dxa"/>
              <w:bottom w:w="80" w:type="dxa"/>
              <w:right w:w="120" w:type="dxa"/>
            </w:tcMar>
          </w:tcPr>
          <w:p w14:paraId="6489D543" w14:textId="77777777" w:rsidR="00E8333D" w:rsidRDefault="00E011CF">
            <w:pPr>
              <w:jc w:val="both"/>
            </w:pPr>
            <w:r>
              <w:rPr>
                <w:sz w:val="21"/>
                <w:szCs w:val="21"/>
              </w:rPr>
              <w:t>Not addressed</w:t>
            </w:r>
          </w:p>
        </w:tc>
        <w:tc>
          <w:tcPr>
            <w:tcW w:w="3380" w:type="dxa"/>
            <w:shd w:val="clear" w:color="auto" w:fill="EEF2FF"/>
            <w:tcMar>
              <w:top w:w="80" w:type="dxa"/>
              <w:left w:w="120" w:type="dxa"/>
              <w:bottom w:w="80" w:type="dxa"/>
              <w:right w:w="120" w:type="dxa"/>
            </w:tcMar>
          </w:tcPr>
          <w:p w14:paraId="16C7494E" w14:textId="77777777" w:rsidR="00E8333D" w:rsidRDefault="00E011CF">
            <w:pPr>
              <w:jc w:val="both"/>
            </w:pPr>
            <w:r>
              <w:rPr>
                <w:sz w:val="21"/>
                <w:szCs w:val="21"/>
              </w:rPr>
              <w:t>Identified as junction probability (Section 7.4) — derivation of value remains open</w:t>
            </w:r>
          </w:p>
        </w:tc>
      </w:tr>
      <w:tr w:rsidR="0051090A" w14:paraId="0BE12873" w14:textId="77777777">
        <w:tc>
          <w:tcPr>
            <w:tcW w:w="2600" w:type="dxa"/>
            <w:shd w:val="clear" w:color="auto" w:fill="FFFFFF"/>
            <w:tcMar>
              <w:top w:w="80" w:type="dxa"/>
              <w:left w:w="120" w:type="dxa"/>
              <w:bottom w:w="80" w:type="dxa"/>
              <w:right w:w="120" w:type="dxa"/>
            </w:tcMar>
          </w:tcPr>
          <w:p w14:paraId="0ACF93FB" w14:textId="77777777" w:rsidR="00E8333D" w:rsidRDefault="00E011CF">
            <w:pPr>
              <w:jc w:val="both"/>
            </w:pPr>
            <w:r>
              <w:rPr>
                <w:sz w:val="21"/>
                <w:szCs w:val="21"/>
              </w:rPr>
              <w:t>OP10: Standard Model</w:t>
            </w:r>
          </w:p>
        </w:tc>
        <w:tc>
          <w:tcPr>
            <w:tcW w:w="3380" w:type="dxa"/>
            <w:shd w:val="clear" w:color="auto" w:fill="FFFFFF"/>
            <w:tcMar>
              <w:top w:w="80" w:type="dxa"/>
              <w:left w:w="120" w:type="dxa"/>
              <w:bottom w:w="80" w:type="dxa"/>
              <w:right w:w="120" w:type="dxa"/>
            </w:tcMar>
          </w:tcPr>
          <w:p w14:paraId="586CC0A6" w14:textId="77777777" w:rsidR="00E8333D" w:rsidRDefault="00E011CF">
            <w:pPr>
              <w:jc w:val="both"/>
            </w:pPr>
            <w:r>
              <w:rPr>
                <w:sz w:val="21"/>
                <w:szCs w:val="21"/>
              </w:rPr>
              <w:t>Not addressed</w:t>
            </w:r>
          </w:p>
        </w:tc>
        <w:tc>
          <w:tcPr>
            <w:tcW w:w="3380" w:type="dxa"/>
            <w:shd w:val="clear" w:color="auto" w:fill="FFFFFF"/>
            <w:tcMar>
              <w:top w:w="80" w:type="dxa"/>
              <w:left w:w="120" w:type="dxa"/>
              <w:bottom w:w="80" w:type="dxa"/>
              <w:right w:w="120" w:type="dxa"/>
            </w:tcMar>
          </w:tcPr>
          <w:p w14:paraId="5F27908C" w14:textId="77777777" w:rsidR="00E8333D" w:rsidRDefault="00E011CF">
            <w:pPr>
              <w:jc w:val="both"/>
            </w:pPr>
            <w:r>
              <w:rPr>
                <w:sz w:val="21"/>
                <w:szCs w:val="21"/>
              </w:rPr>
              <w:t>Not addressed — identified as Paper 5 programme</w:t>
            </w:r>
          </w:p>
        </w:tc>
      </w:tr>
      <w:tr w:rsidR="0051090A" w14:paraId="6C315A48" w14:textId="77777777">
        <w:tc>
          <w:tcPr>
            <w:tcW w:w="2600" w:type="dxa"/>
            <w:shd w:val="clear" w:color="auto" w:fill="EEF2FF"/>
            <w:tcMar>
              <w:top w:w="80" w:type="dxa"/>
              <w:left w:w="120" w:type="dxa"/>
              <w:bottom w:w="80" w:type="dxa"/>
              <w:right w:w="120" w:type="dxa"/>
            </w:tcMar>
          </w:tcPr>
          <w:p w14:paraId="57D9723B" w14:textId="77777777" w:rsidR="00E8333D" w:rsidRDefault="00E011CF">
            <w:pPr>
              <w:jc w:val="both"/>
            </w:pPr>
            <w:r>
              <w:rPr>
                <w:sz w:val="21"/>
                <w:szCs w:val="21"/>
              </w:rPr>
              <w:t>OP11: Cosmological constant</w:t>
            </w:r>
          </w:p>
        </w:tc>
        <w:tc>
          <w:tcPr>
            <w:tcW w:w="3380" w:type="dxa"/>
            <w:shd w:val="clear" w:color="auto" w:fill="EEF2FF"/>
            <w:tcMar>
              <w:top w:w="80" w:type="dxa"/>
              <w:left w:w="120" w:type="dxa"/>
              <w:bottom w:w="80" w:type="dxa"/>
              <w:right w:w="120" w:type="dxa"/>
            </w:tcMar>
          </w:tcPr>
          <w:p w14:paraId="4C0032F3" w14:textId="77777777" w:rsidR="00E8333D" w:rsidRDefault="00E011CF">
            <w:pPr>
              <w:jc w:val="both"/>
            </w:pPr>
            <w:r>
              <w:rPr>
                <w:sz w:val="21"/>
                <w:szCs w:val="21"/>
              </w:rPr>
              <w:t>Not addressed</w:t>
            </w:r>
          </w:p>
        </w:tc>
        <w:tc>
          <w:tcPr>
            <w:tcW w:w="3380" w:type="dxa"/>
            <w:shd w:val="clear" w:color="auto" w:fill="EEF2FF"/>
            <w:tcMar>
              <w:top w:w="80" w:type="dxa"/>
              <w:left w:w="120" w:type="dxa"/>
              <w:bottom w:w="80" w:type="dxa"/>
              <w:right w:w="120" w:type="dxa"/>
            </w:tcMar>
          </w:tcPr>
          <w:p w14:paraId="3EAF753C" w14:textId="77777777" w:rsidR="00E8333D" w:rsidRDefault="00E011CF">
            <w:pPr>
              <w:jc w:val="both"/>
            </w:pPr>
            <w:r>
              <w:rPr>
                <w:sz w:val="21"/>
                <w:szCs w:val="21"/>
              </w:rPr>
              <w:t>Sorkin unimodular mechanism identified (Section 9.2) — value not derived</w:t>
            </w:r>
          </w:p>
        </w:tc>
      </w:tr>
    </w:tbl>
    <w:p w14:paraId="3C61740B" w14:textId="77777777" w:rsidR="00E8333D" w:rsidRDefault="00E8333D">
      <w:pPr>
        <w:spacing w:after="200"/>
      </w:pPr>
    </w:p>
    <w:p w14:paraId="01AD9574" w14:textId="77777777" w:rsidR="00E8333D" w:rsidRDefault="00E8333D">
      <w:pPr>
        <w:pBdr>
          <w:bottom w:val="single" w:sz="4" w:space="1" w:color="1A1A5E"/>
        </w:pBdr>
        <w:spacing w:before="200" w:after="200"/>
      </w:pPr>
    </w:p>
    <w:p w14:paraId="7B4B333E" w14:textId="77777777" w:rsidR="00E8333D" w:rsidRDefault="00E011CF">
      <w:pPr>
        <w:pStyle w:val="Heading1"/>
      </w:pPr>
      <w:r>
        <w:t>References</w:t>
      </w:r>
    </w:p>
    <w:p w14:paraId="0EF9C2E5" w14:textId="77777777" w:rsidR="00E8333D" w:rsidRDefault="00E011CF">
      <w:pPr>
        <w:spacing w:after="100"/>
        <w:ind w:left="720" w:hanging="720"/>
      </w:pPr>
      <w:proofErr w:type="spellStart"/>
      <w:r>
        <w:rPr>
          <w:sz w:val="21"/>
          <w:szCs w:val="21"/>
        </w:rPr>
        <w:lastRenderedPageBreak/>
        <w:t>Bekenstein</w:t>
      </w:r>
      <w:proofErr w:type="spellEnd"/>
      <w:r>
        <w:rPr>
          <w:sz w:val="21"/>
          <w:szCs w:val="21"/>
        </w:rPr>
        <w:t>, J.D. (1973). Black holes and entropy. Physical Review D, 7(8), 2333–2346.</w:t>
      </w:r>
    </w:p>
    <w:p w14:paraId="1EB68EDB" w14:textId="77777777" w:rsidR="00E8333D" w:rsidRDefault="00E011CF">
      <w:pPr>
        <w:spacing w:after="100"/>
        <w:ind w:left="720" w:hanging="720"/>
      </w:pPr>
      <w:proofErr w:type="spellStart"/>
      <w:r>
        <w:rPr>
          <w:sz w:val="21"/>
          <w:szCs w:val="21"/>
        </w:rPr>
        <w:t>Bombelli</w:t>
      </w:r>
      <w:proofErr w:type="spellEnd"/>
      <w:r>
        <w:rPr>
          <w:sz w:val="21"/>
          <w:szCs w:val="21"/>
        </w:rPr>
        <w:t xml:space="preserve">, L., </w:t>
      </w:r>
      <w:proofErr w:type="spellStart"/>
      <w:r>
        <w:rPr>
          <w:sz w:val="21"/>
          <w:szCs w:val="21"/>
        </w:rPr>
        <w:t>Hmouth</w:t>
      </w:r>
      <w:proofErr w:type="spellEnd"/>
      <w:r>
        <w:rPr>
          <w:sz w:val="21"/>
          <w:szCs w:val="21"/>
        </w:rPr>
        <w:t>, J., Lee, J., &amp; Sorkin, R.D. (1986). The origin of the thermodynamics of black holes. Unpublished.</w:t>
      </w:r>
    </w:p>
    <w:p w14:paraId="5C931BDB" w14:textId="77777777" w:rsidR="00E8333D" w:rsidRDefault="00E011CF">
      <w:pPr>
        <w:spacing w:after="100"/>
        <w:ind w:left="720" w:hanging="720"/>
      </w:pPr>
      <w:proofErr w:type="spellStart"/>
      <w:r>
        <w:rPr>
          <w:sz w:val="21"/>
          <w:szCs w:val="21"/>
        </w:rPr>
        <w:t>Bombelli</w:t>
      </w:r>
      <w:proofErr w:type="spellEnd"/>
      <w:r>
        <w:rPr>
          <w:sz w:val="21"/>
          <w:szCs w:val="21"/>
        </w:rPr>
        <w:t>, L., Lee, J., Meyer, D., &amp; Sorkin, R.D. (1987). Space-time as a causal set. Physical Review Letters, 59(5), 521–524.</w:t>
      </w:r>
    </w:p>
    <w:p w14:paraId="12A09886" w14:textId="77777777" w:rsidR="00E8333D" w:rsidRDefault="00E011CF">
      <w:pPr>
        <w:spacing w:after="100"/>
        <w:ind w:left="720" w:hanging="720"/>
      </w:pPr>
      <w:r>
        <w:rPr>
          <w:sz w:val="21"/>
          <w:szCs w:val="21"/>
        </w:rPr>
        <w:t>de Florinier, E. (2026a). Photon Interaction Rate as the Fundamental Basis of Time and Relativity. Unpublished draft, April 2026.</w:t>
      </w:r>
    </w:p>
    <w:p w14:paraId="3607F8BD" w14:textId="77777777" w:rsidR="00E8333D" w:rsidRDefault="00E011CF">
      <w:pPr>
        <w:spacing w:after="100"/>
        <w:ind w:left="720" w:hanging="720"/>
      </w:pPr>
      <w:r>
        <w:rPr>
          <w:sz w:val="21"/>
          <w:szCs w:val="21"/>
        </w:rPr>
        <w:t>de Florinier, E. (2026b). Covariant Extension of the Photon Interaction Rate Framework: Toward Open Problems 2 and 4. Unpublished draft, April 2026.</w:t>
      </w:r>
    </w:p>
    <w:p w14:paraId="6ADE3D01" w14:textId="77777777" w:rsidR="00E8333D" w:rsidRDefault="00E011CF">
      <w:pPr>
        <w:spacing w:after="100"/>
        <w:ind w:left="720" w:hanging="720"/>
      </w:pPr>
      <w:r>
        <w:rPr>
          <w:sz w:val="21"/>
          <w:szCs w:val="21"/>
        </w:rPr>
        <w:t>de Florinier, E. (2026c). Toward Independence: Deriving Spacetime Geometry and Quantum Field Embedding from the Photon Interaction Rate Framework. Unpublished draft, April 2026.</w:t>
      </w:r>
    </w:p>
    <w:p w14:paraId="6AD7411A" w14:textId="77777777" w:rsidR="00E8333D" w:rsidRDefault="00E011CF">
      <w:pPr>
        <w:spacing w:after="100"/>
        <w:ind w:left="720" w:hanging="720"/>
      </w:pPr>
      <w:r>
        <w:rPr>
          <w:sz w:val="21"/>
          <w:szCs w:val="21"/>
        </w:rPr>
        <w:t>Dowker, F. (2005). Causal sets and the deep structure of spacetime. In A. Ashtekar (Ed.), 100 Years of Relativity. World Scientific.</w:t>
      </w:r>
    </w:p>
    <w:p w14:paraId="5EE97875" w14:textId="77777777" w:rsidR="00E8333D" w:rsidRDefault="00E011CF">
      <w:pPr>
        <w:spacing w:after="100"/>
        <w:ind w:left="720" w:hanging="720"/>
      </w:pPr>
      <w:r>
        <w:rPr>
          <w:sz w:val="21"/>
          <w:szCs w:val="21"/>
        </w:rPr>
        <w:t>Feynman, R.P. (1948). Space-time approach to non-relativistic quantum mechanics. Reviews of Modern Physics, 20(2), 367–387.</w:t>
      </w:r>
    </w:p>
    <w:p w14:paraId="3DBEFDA4" w14:textId="77777777" w:rsidR="00E8333D" w:rsidRDefault="00E011CF">
      <w:pPr>
        <w:spacing w:after="100"/>
        <w:ind w:left="720" w:hanging="720"/>
      </w:pPr>
      <w:r>
        <w:rPr>
          <w:sz w:val="21"/>
          <w:szCs w:val="21"/>
        </w:rPr>
        <w:t>Jacobson, T. (1995). Thermodynamics of spacetime: the Einstein equation of state. Physical Review Letters, 75(7), 1260–1263.</w:t>
      </w:r>
    </w:p>
    <w:p w14:paraId="63154DF3" w14:textId="77777777" w:rsidR="00E8333D" w:rsidRDefault="00E011CF">
      <w:pPr>
        <w:spacing w:after="100"/>
        <w:ind w:left="720" w:hanging="720"/>
      </w:pPr>
      <w:proofErr w:type="spellStart"/>
      <w:r>
        <w:rPr>
          <w:sz w:val="21"/>
          <w:szCs w:val="21"/>
        </w:rPr>
        <w:t>Malament</w:t>
      </w:r>
      <w:proofErr w:type="spellEnd"/>
      <w:r>
        <w:rPr>
          <w:sz w:val="21"/>
          <w:szCs w:val="21"/>
        </w:rPr>
        <w:t xml:space="preserve">, D. (1977). The class of continuous </w:t>
      </w:r>
      <w:proofErr w:type="spellStart"/>
      <w:r>
        <w:rPr>
          <w:sz w:val="21"/>
          <w:szCs w:val="21"/>
        </w:rPr>
        <w:t>timelike</w:t>
      </w:r>
      <w:proofErr w:type="spellEnd"/>
      <w:r>
        <w:rPr>
          <w:sz w:val="21"/>
          <w:szCs w:val="21"/>
        </w:rPr>
        <w:t xml:space="preserve"> curves determines the topology of spacetime. Journal of Mathematical Physics, 18(7), 1399–1404.</w:t>
      </w:r>
    </w:p>
    <w:p w14:paraId="435C4728" w14:textId="77777777" w:rsidR="00E8333D" w:rsidRDefault="00E011CF">
      <w:pPr>
        <w:spacing w:after="100"/>
        <w:ind w:left="720" w:hanging="720"/>
      </w:pPr>
      <w:r>
        <w:rPr>
          <w:sz w:val="21"/>
          <w:szCs w:val="21"/>
        </w:rPr>
        <w:t xml:space="preserve">Planck, M. (1899). </w:t>
      </w:r>
      <w:proofErr w:type="spellStart"/>
      <w:r>
        <w:rPr>
          <w:sz w:val="21"/>
          <w:szCs w:val="21"/>
        </w:rPr>
        <w:t>Über</w:t>
      </w:r>
      <w:proofErr w:type="spellEnd"/>
      <w:r>
        <w:rPr>
          <w:sz w:val="21"/>
          <w:szCs w:val="21"/>
        </w:rPr>
        <w:t xml:space="preserve"> irreversible </w:t>
      </w:r>
      <w:proofErr w:type="spellStart"/>
      <w:r>
        <w:rPr>
          <w:sz w:val="21"/>
          <w:szCs w:val="21"/>
        </w:rPr>
        <w:t>Strahlungsvorgänge</w:t>
      </w:r>
      <w:proofErr w:type="spellEnd"/>
      <w:r>
        <w:rPr>
          <w:sz w:val="21"/>
          <w:szCs w:val="21"/>
        </w:rPr>
        <w:t xml:space="preserve">. </w:t>
      </w:r>
      <w:proofErr w:type="spellStart"/>
      <w:r>
        <w:rPr>
          <w:sz w:val="21"/>
          <w:szCs w:val="21"/>
        </w:rPr>
        <w:t>Sitzungsberichte</w:t>
      </w:r>
      <w:proofErr w:type="spellEnd"/>
      <w:r>
        <w:rPr>
          <w:sz w:val="21"/>
          <w:szCs w:val="21"/>
        </w:rPr>
        <w:t xml:space="preserve"> der </w:t>
      </w:r>
      <w:proofErr w:type="spellStart"/>
      <w:r>
        <w:rPr>
          <w:sz w:val="21"/>
          <w:szCs w:val="21"/>
        </w:rPr>
        <w:t>Preussischen</w:t>
      </w:r>
      <w:proofErr w:type="spellEnd"/>
      <w:r>
        <w:rPr>
          <w:sz w:val="21"/>
          <w:szCs w:val="21"/>
        </w:rPr>
        <w:t xml:space="preserve"> Akademie der </w:t>
      </w:r>
      <w:proofErr w:type="spellStart"/>
      <w:r>
        <w:rPr>
          <w:sz w:val="21"/>
          <w:szCs w:val="21"/>
        </w:rPr>
        <w:t>Wissenschaften</w:t>
      </w:r>
      <w:proofErr w:type="spellEnd"/>
      <w:r>
        <w:rPr>
          <w:sz w:val="21"/>
          <w:szCs w:val="21"/>
        </w:rPr>
        <w:t>, 5, 440–480.</w:t>
      </w:r>
    </w:p>
    <w:p w14:paraId="4622A83E" w14:textId="77777777" w:rsidR="00E8333D" w:rsidRDefault="00E011CF">
      <w:pPr>
        <w:spacing w:after="100"/>
        <w:ind w:left="720" w:hanging="720"/>
      </w:pPr>
      <w:r>
        <w:rPr>
          <w:sz w:val="21"/>
          <w:szCs w:val="21"/>
        </w:rPr>
        <w:t xml:space="preserve">Rényi, A. (1967). Remarks on the Poisson process. Studia </w:t>
      </w:r>
      <w:proofErr w:type="spellStart"/>
      <w:r>
        <w:rPr>
          <w:sz w:val="21"/>
          <w:szCs w:val="21"/>
        </w:rPr>
        <w:t>Scientiarum</w:t>
      </w:r>
      <w:proofErr w:type="spellEnd"/>
      <w:r>
        <w:rPr>
          <w:sz w:val="21"/>
          <w:szCs w:val="21"/>
        </w:rPr>
        <w:t xml:space="preserve"> </w:t>
      </w:r>
      <w:proofErr w:type="spellStart"/>
      <w:r>
        <w:rPr>
          <w:sz w:val="21"/>
          <w:szCs w:val="21"/>
        </w:rPr>
        <w:t>Mathematicarum</w:t>
      </w:r>
      <w:proofErr w:type="spellEnd"/>
      <w:r>
        <w:rPr>
          <w:sz w:val="21"/>
          <w:szCs w:val="21"/>
        </w:rPr>
        <w:t xml:space="preserve"> </w:t>
      </w:r>
      <w:proofErr w:type="spellStart"/>
      <w:r>
        <w:rPr>
          <w:sz w:val="21"/>
          <w:szCs w:val="21"/>
        </w:rPr>
        <w:t>Hungarica</w:t>
      </w:r>
      <w:proofErr w:type="spellEnd"/>
      <w:r>
        <w:rPr>
          <w:sz w:val="21"/>
          <w:szCs w:val="21"/>
        </w:rPr>
        <w:t>, 2, 119–123.</w:t>
      </w:r>
    </w:p>
    <w:p w14:paraId="3A9D1CC7" w14:textId="77777777" w:rsidR="00E8333D" w:rsidRDefault="00E011CF">
      <w:pPr>
        <w:spacing w:after="100"/>
        <w:ind w:left="720" w:hanging="720"/>
      </w:pPr>
      <w:r>
        <w:rPr>
          <w:sz w:val="21"/>
          <w:szCs w:val="21"/>
        </w:rPr>
        <w:t>Rovelli, C., &amp; Smolin, L. (1995). Discreteness of area and volume in quantum gravity. Nuclear Physics B, 442(3), 593–619.</w:t>
      </w:r>
    </w:p>
    <w:p w14:paraId="3865D85C" w14:textId="77777777" w:rsidR="00E8333D" w:rsidRDefault="00E011CF">
      <w:pPr>
        <w:spacing w:after="100"/>
        <w:ind w:left="720" w:hanging="720"/>
      </w:pPr>
      <w:r>
        <w:rPr>
          <w:sz w:val="21"/>
          <w:szCs w:val="21"/>
        </w:rPr>
        <w:t>Sorkin, R.D. (1983). On the entropy of the vacuum outside a horizon. General Relativity and Gravitation. Proceedings of the 10th International Conference, 734.</w:t>
      </w:r>
    </w:p>
    <w:p w14:paraId="362A01A3" w14:textId="77777777" w:rsidR="00E8333D" w:rsidRDefault="00E011CF">
      <w:pPr>
        <w:spacing w:after="100"/>
        <w:ind w:left="720" w:hanging="720"/>
      </w:pPr>
      <w:r>
        <w:rPr>
          <w:sz w:val="21"/>
          <w:szCs w:val="21"/>
        </w:rPr>
        <w:t xml:space="preserve">Sorkin, R.D. (1990). Spacetime and causal sets. </w:t>
      </w:r>
      <w:r w:rsidRPr="0051090A">
        <w:rPr>
          <w:sz w:val="21"/>
          <w:szCs w:val="21"/>
          <w:lang w:val="fr-FR"/>
        </w:rPr>
        <w:t xml:space="preserve">In J.C. D'Olivo et al. </w:t>
      </w:r>
      <w:r>
        <w:rPr>
          <w:sz w:val="21"/>
          <w:szCs w:val="21"/>
        </w:rPr>
        <w:t>(Eds.), Relativity and Gravitation: Classical and Quantum. World Scientific.</w:t>
      </w:r>
    </w:p>
    <w:p w14:paraId="048D973F" w14:textId="77777777" w:rsidR="00E8333D" w:rsidRDefault="00E011CF">
      <w:pPr>
        <w:spacing w:after="100"/>
        <w:ind w:left="720" w:hanging="720"/>
      </w:pPr>
      <w:r>
        <w:rPr>
          <w:sz w:val="21"/>
          <w:szCs w:val="21"/>
        </w:rPr>
        <w:t>Sorkin, R.D. (1991). Impossible measurements on quantum fields. In B.-L. Hu &amp; T.A. Jacobson (Eds.), Directions in General Relativity, Vol. 2. Cambridge University Press.</w:t>
      </w:r>
    </w:p>
    <w:p w14:paraId="46EFF4DF" w14:textId="77777777" w:rsidR="00E8333D" w:rsidRDefault="00E011CF">
      <w:pPr>
        <w:spacing w:after="100"/>
        <w:ind w:left="720" w:hanging="720"/>
      </w:pPr>
      <w:r>
        <w:rPr>
          <w:sz w:val="21"/>
          <w:szCs w:val="21"/>
        </w:rPr>
        <w:t>Sorkin, R.D. (1997). Forks in the road, on the way to quantum gravity. International Journal of Theoretical Physics, 36(12), 2759–2781.</w:t>
      </w:r>
    </w:p>
    <w:p w14:paraId="7E91F68F" w14:textId="77777777" w:rsidR="00E8333D" w:rsidRDefault="00E011CF">
      <w:pPr>
        <w:spacing w:after="100"/>
        <w:ind w:left="720" w:hanging="720"/>
      </w:pPr>
      <w:r>
        <w:rPr>
          <w:sz w:val="21"/>
          <w:szCs w:val="21"/>
        </w:rPr>
        <w:t>Unruh, W.G. (1976). Notes on black-hole evaporation. Physical Review D, 14(4), 870–892.</w:t>
      </w:r>
    </w:p>
    <w:p w14:paraId="40ACCD33" w14:textId="77777777" w:rsidR="00E8333D" w:rsidRDefault="00E011CF">
      <w:pPr>
        <w:spacing w:after="100"/>
        <w:ind w:left="720" w:hanging="720"/>
      </w:pPr>
      <w:r>
        <w:rPr>
          <w:sz w:val="21"/>
          <w:szCs w:val="21"/>
        </w:rPr>
        <w:t>Verlinde, E. (2011). On the origin of gravity and the laws of Newton. Journal of High Energy Physics, 2011(4), 29.</w:t>
      </w:r>
    </w:p>
    <w:p w14:paraId="4049041B" w14:textId="77777777" w:rsidR="00E8333D" w:rsidRDefault="00E011CF">
      <w:pPr>
        <w:spacing w:after="100"/>
        <w:ind w:left="720" w:hanging="720"/>
      </w:pPr>
      <w:r>
        <w:rPr>
          <w:sz w:val="21"/>
          <w:szCs w:val="21"/>
        </w:rPr>
        <w:t>Wheeler, J.A. (1990). Information, physics, quantum: The search for links. In W. Zurek (Ed.), Complexity, Entropy, and the Physics of Information. Addison-Wesley.</w:t>
      </w:r>
    </w:p>
    <w:p w14:paraId="1402C2E9" w14:textId="3A698888" w:rsidR="00E8333D" w:rsidRDefault="00E8333D">
      <w:pPr>
        <w:spacing w:after="80"/>
        <w:jc w:val="both"/>
      </w:pPr>
    </w:p>
    <w:sectPr w:rsidR="00E8333D">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0668C" w14:textId="77777777" w:rsidR="00E21F7A" w:rsidRDefault="00E21F7A">
      <w:r>
        <w:separator/>
      </w:r>
    </w:p>
  </w:endnote>
  <w:endnote w:type="continuationSeparator" w:id="0">
    <w:p w14:paraId="04D44DA6" w14:textId="77777777" w:rsidR="00E21F7A" w:rsidRDefault="00E21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B277" w14:textId="77777777" w:rsidR="00E8333D" w:rsidRDefault="00E011CF">
    <w:pPr>
      <w:jc w:val="center"/>
    </w:pPr>
    <w:r>
      <w:rPr>
        <w:color w:val="888888"/>
        <w:sz w:val="18"/>
        <w:szCs w:val="18"/>
      </w:rPr>
      <w:t>PIR Framework — Paper 4: Counting First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D124F" w14:textId="77777777" w:rsidR="00E21F7A" w:rsidRDefault="00E21F7A">
      <w:r>
        <w:separator/>
      </w:r>
    </w:p>
  </w:footnote>
  <w:footnote w:type="continuationSeparator" w:id="0">
    <w:p w14:paraId="4359823B" w14:textId="77777777" w:rsidR="00E21F7A" w:rsidRDefault="00E21F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1A11"/>
    <w:multiLevelType w:val="hybridMultilevel"/>
    <w:tmpl w:val="744AC2EE"/>
    <w:lvl w:ilvl="0" w:tplc="D1FE99E2">
      <w:start w:val="1"/>
      <w:numFmt w:val="bullet"/>
      <w:lvlText w:val="•"/>
      <w:lvlJc w:val="left"/>
      <w:pPr>
        <w:ind w:left="720" w:hanging="360"/>
      </w:pPr>
    </w:lvl>
    <w:lvl w:ilvl="1" w:tplc="1D8A8706">
      <w:start w:val="1"/>
      <w:numFmt w:val="bullet"/>
      <w:lvlText w:val="◦"/>
      <w:lvlJc w:val="left"/>
      <w:pPr>
        <w:ind w:left="1080" w:hanging="360"/>
      </w:pPr>
    </w:lvl>
    <w:lvl w:ilvl="2" w:tplc="994EE7C6">
      <w:numFmt w:val="decimal"/>
      <w:lvlText w:val=""/>
      <w:lvlJc w:val="left"/>
    </w:lvl>
    <w:lvl w:ilvl="3" w:tplc="2EC6CAD0">
      <w:numFmt w:val="decimal"/>
      <w:lvlText w:val=""/>
      <w:lvlJc w:val="left"/>
    </w:lvl>
    <w:lvl w:ilvl="4" w:tplc="26E214F0">
      <w:numFmt w:val="decimal"/>
      <w:lvlText w:val=""/>
      <w:lvlJc w:val="left"/>
    </w:lvl>
    <w:lvl w:ilvl="5" w:tplc="8118DD32">
      <w:numFmt w:val="decimal"/>
      <w:lvlText w:val=""/>
      <w:lvlJc w:val="left"/>
    </w:lvl>
    <w:lvl w:ilvl="6" w:tplc="6BA03C7A">
      <w:numFmt w:val="decimal"/>
      <w:lvlText w:val=""/>
      <w:lvlJc w:val="left"/>
    </w:lvl>
    <w:lvl w:ilvl="7" w:tplc="7562C156">
      <w:numFmt w:val="decimal"/>
      <w:lvlText w:val=""/>
      <w:lvlJc w:val="left"/>
    </w:lvl>
    <w:lvl w:ilvl="8" w:tplc="A5A2C164">
      <w:numFmt w:val="decimal"/>
      <w:lvlText w:val=""/>
      <w:lvlJc w:val="left"/>
    </w:lvl>
  </w:abstractNum>
  <w:abstractNum w:abstractNumId="1" w15:restartNumberingAfterBreak="0">
    <w:nsid w:val="54A86DAC"/>
    <w:multiLevelType w:val="hybridMultilevel"/>
    <w:tmpl w:val="7A268956"/>
    <w:lvl w:ilvl="0" w:tplc="327C1D7A">
      <w:start w:val="1"/>
      <w:numFmt w:val="bullet"/>
      <w:lvlText w:val="●"/>
      <w:lvlJc w:val="left"/>
      <w:pPr>
        <w:ind w:left="720" w:hanging="360"/>
      </w:pPr>
    </w:lvl>
    <w:lvl w:ilvl="1" w:tplc="2320C45E">
      <w:start w:val="1"/>
      <w:numFmt w:val="bullet"/>
      <w:lvlText w:val="○"/>
      <w:lvlJc w:val="left"/>
      <w:pPr>
        <w:ind w:left="1440" w:hanging="360"/>
      </w:pPr>
    </w:lvl>
    <w:lvl w:ilvl="2" w:tplc="E78C6CFA">
      <w:start w:val="1"/>
      <w:numFmt w:val="bullet"/>
      <w:lvlText w:val="■"/>
      <w:lvlJc w:val="left"/>
      <w:pPr>
        <w:ind w:left="2160" w:hanging="360"/>
      </w:pPr>
    </w:lvl>
    <w:lvl w:ilvl="3" w:tplc="26B2F5F6">
      <w:start w:val="1"/>
      <w:numFmt w:val="bullet"/>
      <w:lvlText w:val="●"/>
      <w:lvlJc w:val="left"/>
      <w:pPr>
        <w:ind w:left="2880" w:hanging="360"/>
      </w:pPr>
    </w:lvl>
    <w:lvl w:ilvl="4" w:tplc="7CE6DFDC">
      <w:start w:val="1"/>
      <w:numFmt w:val="bullet"/>
      <w:lvlText w:val="○"/>
      <w:lvlJc w:val="left"/>
      <w:pPr>
        <w:ind w:left="3600" w:hanging="360"/>
      </w:pPr>
    </w:lvl>
    <w:lvl w:ilvl="5" w:tplc="C0CE35B2">
      <w:start w:val="1"/>
      <w:numFmt w:val="bullet"/>
      <w:lvlText w:val="■"/>
      <w:lvlJc w:val="left"/>
      <w:pPr>
        <w:ind w:left="4320" w:hanging="360"/>
      </w:pPr>
    </w:lvl>
    <w:lvl w:ilvl="6" w:tplc="648261B8">
      <w:start w:val="1"/>
      <w:numFmt w:val="bullet"/>
      <w:lvlText w:val="●"/>
      <w:lvlJc w:val="left"/>
      <w:pPr>
        <w:ind w:left="5040" w:hanging="360"/>
      </w:pPr>
    </w:lvl>
    <w:lvl w:ilvl="7" w:tplc="6C741C10">
      <w:start w:val="1"/>
      <w:numFmt w:val="bullet"/>
      <w:lvlText w:val="●"/>
      <w:lvlJc w:val="left"/>
      <w:pPr>
        <w:ind w:left="5760" w:hanging="360"/>
      </w:pPr>
    </w:lvl>
    <w:lvl w:ilvl="8" w:tplc="1B5AB47E">
      <w:start w:val="1"/>
      <w:numFmt w:val="bullet"/>
      <w:lvlText w:val="●"/>
      <w:lvlJc w:val="left"/>
      <w:pPr>
        <w:ind w:left="6480" w:hanging="360"/>
      </w:pPr>
    </w:lvl>
  </w:abstractNum>
  <w:num w:numId="1" w16cid:durableId="531649980">
    <w:abstractNumId w:val="1"/>
    <w:lvlOverride w:ilvl="0">
      <w:startOverride w:val="1"/>
    </w:lvlOverride>
  </w:num>
  <w:num w:numId="2" w16cid:durableId="507674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3D"/>
    <w:rsid w:val="000455B7"/>
    <w:rsid w:val="003D3CD7"/>
    <w:rsid w:val="0051090A"/>
    <w:rsid w:val="00AE2E85"/>
    <w:rsid w:val="00E011CF"/>
    <w:rsid w:val="00E21F7A"/>
    <w:rsid w:val="00E8333D"/>
    <w:rsid w:val="00ED1E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6039"/>
  <w15:docId w15:val="{DBC2CFCA-4EED-43AF-A38E-977B1A6D8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rFonts w:ascii="Arial" w:eastAsia="Arial" w:hAnsi="Arial" w:cs="Arial"/>
      <w:b/>
      <w:bCs/>
      <w:color w:val="1A1A5E"/>
      <w:sz w:val="30"/>
      <w:szCs w:val="30"/>
    </w:rPr>
  </w:style>
  <w:style w:type="paragraph" w:styleId="Heading2">
    <w:name w:val="heading 2"/>
    <w:uiPriority w:val="9"/>
    <w:unhideWhenUsed/>
    <w:qFormat/>
    <w:pPr>
      <w:spacing w:before="280" w:after="120"/>
      <w:outlineLvl w:val="1"/>
    </w:pPr>
    <w:rPr>
      <w:rFonts w:ascii="Arial" w:eastAsia="Arial" w:hAnsi="Arial" w:cs="Arial"/>
      <w:b/>
      <w:bCs/>
      <w:color w:val="1A3A6E"/>
      <w:sz w:val="26"/>
      <w:szCs w:val="26"/>
    </w:rPr>
  </w:style>
  <w:style w:type="paragraph" w:styleId="Heading3">
    <w:name w:val="heading 3"/>
    <w:uiPriority w:val="9"/>
    <w:semiHidden/>
    <w:unhideWhenUsed/>
    <w:qFormat/>
    <w:pPr>
      <w:spacing w:before="200" w:after="80"/>
      <w:outlineLvl w:val="2"/>
    </w:pPr>
    <w:rPr>
      <w:rFonts w:ascii="Arial" w:eastAsia="Arial" w:hAnsi="Arial" w:cs="Arial"/>
      <w:b/>
      <w:bCs/>
      <w:i/>
      <w:iCs/>
      <w:color w:val="2E539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06f3221-0b07-4deb-bfe6-4a58962b35d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046039C6FE204BBE5C1FCC4FC21B6B" ma:contentTypeVersion="14" ma:contentTypeDescription="Create a new document." ma:contentTypeScope="" ma:versionID="8aa3c3cb3f04fb69194f629e2f476411">
  <xsd:schema xmlns:xsd="http://www.w3.org/2001/XMLSchema" xmlns:xs="http://www.w3.org/2001/XMLSchema" xmlns:p="http://schemas.microsoft.com/office/2006/metadata/properties" xmlns:ns3="a06f3221-0b07-4deb-bfe6-4a58962b35d4" xmlns:ns4="15ae6ae6-fadf-4b8f-8bfd-3b1620e8de2e" targetNamespace="http://schemas.microsoft.com/office/2006/metadata/properties" ma:root="true" ma:fieldsID="58bcf31c7d6cdc02596e481eddf20de8" ns3:_="" ns4:_="">
    <xsd:import namespace="a06f3221-0b07-4deb-bfe6-4a58962b35d4"/>
    <xsd:import namespace="15ae6ae6-fadf-4b8f-8bfd-3b1620e8de2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6f3221-0b07-4deb-bfe6-4a58962b35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ae6ae6-fadf-4b8f-8bfd-3b1620e8de2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4B878B-5CD6-4EF1-A507-A9868B339205}">
  <ds:schemaRefs>
    <ds:schemaRef ds:uri="http://schemas.microsoft.com/office/2006/metadata/properties"/>
    <ds:schemaRef ds:uri="http://schemas.microsoft.com/office/infopath/2007/PartnerControls"/>
    <ds:schemaRef ds:uri="a06f3221-0b07-4deb-bfe6-4a58962b35d4"/>
  </ds:schemaRefs>
</ds:datastoreItem>
</file>

<file path=customXml/itemProps2.xml><?xml version="1.0" encoding="utf-8"?>
<ds:datastoreItem xmlns:ds="http://schemas.openxmlformats.org/officeDocument/2006/customXml" ds:itemID="{25E191D7-B190-4027-A3D0-C9749B6D1FFB}">
  <ds:schemaRefs>
    <ds:schemaRef ds:uri="http://schemas.microsoft.com/sharepoint/v3/contenttype/forms"/>
  </ds:schemaRefs>
</ds:datastoreItem>
</file>

<file path=customXml/itemProps3.xml><?xml version="1.0" encoding="utf-8"?>
<ds:datastoreItem xmlns:ds="http://schemas.openxmlformats.org/officeDocument/2006/customXml" ds:itemID="{1C0E87BF-B195-4E12-ABD9-FA0E0AA8E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6f3221-0b07-4deb-bfe6-4a58962b35d4"/>
    <ds:schemaRef ds:uri="15ae6ae6-fadf-4b8f-8bfd-3b1620e8de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8307</Words>
  <Characters>47354</Characters>
  <Application>Microsoft Office Word</Application>
  <DocSecurity>0</DocSecurity>
  <Lines>394</Lines>
  <Paragraphs>111</Paragraphs>
  <ScaleCrop>false</ScaleCrop>
  <Company/>
  <LinksUpToDate>false</LinksUpToDate>
  <CharactersWithSpaces>55550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de Florinier</cp:lastModifiedBy>
  <cp:revision>4</cp:revision>
  <dcterms:created xsi:type="dcterms:W3CDTF">2026-04-14T22:22:00Z</dcterms:created>
  <dcterms:modified xsi:type="dcterms:W3CDTF">2026-05-20T13:05:00Z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0x01010083046039C6FE204BBE5C1FCC4FC21B6B</vt:lpwstr>
  </property>
</Properties>
</file>