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40" w:after="160" w:line="280" w:lineRule="auto"/>
      </w:pPr>
      <w:r>
        <w:rPr>
          <w:b/>
          <w:color w:val="147D78"/>
          <w:sz w:val="18"/>
          <w:szCs w:val="18"/>
        </w:rPr>
        <w:t xml:space="preserve">FLOWGUARD  /  PROJECT IDEA</w:t>
      </w:r>
    </w:p>
    <w:p>
      <w:pPr>
        <w:spacing w:before="20" w:after="100" w:line="280" w:lineRule="auto"/>
      </w:pPr>
      <w:r>
        <w:rPr>
          <w:b/>
          <w:color w:val="172B3A"/>
          <w:sz w:val="42"/>
          <w:szCs w:val="42"/>
        </w:rPr>
        <w:t xml:space="preserve">A clearer way to
manage client work</w:t>
      </w:r>
    </w:p>
    <w:p>
      <w:pPr>
        <w:spacing w:before="0" w:after="230" w:line="280" w:lineRule="auto"/>
      </w:pPr>
      <w:r>
        <w:rPr>
          <w:color w:val="526575"/>
          <w:sz w:val="23"/>
          <w:szCs w:val="23"/>
        </w:rPr>
        <w:t xml:space="preserve">A focused workspace for managers coordinating work across clients and locations.</w:t>
      </w:r>
    </w:p>
    <w:tbl>
      <w:tblPr>
        <w:tblW w:w="0" w:type="auto"/>
        <w:tblLayout w:type="fixed"/>
        <w:tblBorders>
          <w:top w:val="nil"/>
          <w:left w:val="nil"/>
          <w:bottom w:val="nil"/>
          <w:right w:val="nil"/>
          <w:insideH w:val="nil"/>
          <w:insideV w:val="nil"/>
        </w:tblBorders>
        <w:tblCellMar>
          <w:top w:w="100" w:type="dxa"/>
          <w:start w:w="100" w:type="dxa"/>
          <w:bottom w:w="100" w:type="dxa"/>
          <w:end w:w="100" w:type="dxa"/>
        </w:tblCellMar>
      </w:tblPr>
      <w:tblGrid>
        <w:gridCol w:w="9360"/>
      </w:tblGrid>
      <w:tr>
        <w:tc>
          <w:tcPr>
            <w:tcW w:w="9360" w:type="dxa"/>
            <w:shd w:fill="EAF5F3" w:val="clear"/>
            <w:tcMar>
              <w:top w:w="120" w:type="dxa"/>
              <w:start w:w="120" w:type="dxa"/>
              <w:bottom w:w="120" w:type="dxa"/>
              <w:end w:w="120" w:type="dxa"/>
            </w:tcMar>
          </w:tcPr>
          <w:p>
            <w:pPr>
              <w:spacing w:before="0" w:after="55" w:line="280" w:lineRule="auto"/>
            </w:pPr>
            <w:r>
              <w:rPr>
                <w:b/>
                <w:color w:val="147D78"/>
                <w:sz w:val="18"/>
                <w:szCs w:val="18"/>
              </w:rPr>
              <w:t xml:space="preserve">THE IDEA</w:t>
            </w:r>
          </w:p>
          <w:p>
            <w:pPr>
              <w:spacing w:before="0" w:after="20" w:line="280" w:lineRule="auto"/>
            </w:pPr>
            <w:r>
              <w:rPr>
                <w:b/>
                <w:color w:val="172B3A"/>
                <w:sz w:val="24"/>
                <w:szCs w:val="24"/>
              </w:rPr>
              <w:t xml:space="preserve">Spend less time searching across tools and locations—and more time moving the work forward.</w:t>
            </w:r>
          </w:p>
        </w:tc>
      </w:tr>
    </w:tbl>
    <w:p>
      <w:pPr>
        <w:pStyle w:val="Heading1"/>
        <w:spacing w:before="210" w:after="90" w:line="280" w:lineRule="auto"/>
        <w:keepNext/>
      </w:pPr>
      <w:r>
        <w:rPr>
          <w:b/>
        </w:rPr>
        <w:t xml:space="preserve">The problem</w:t>
      </w:r>
    </w:p>
    <w:p>
      <w:pPr>
        <w:spacing w:before="0" w:after="100" w:line="280" w:lineRule="auto"/>
      </w:pPr>
      <w:r>
        <w:t xml:space="preserve">Managers supporting clients in different places often have to piece together the picture from Gmail, messages, spreadsheets, and other tools. A detail may sit in one conversation, a travel request in another system, and a team update somewhere else. Finding the right information takes time, interrupts work, and makes it harder to see what needs attention.</w:t>
      </w:r>
    </w:p>
    <w:p>
      <w:pPr>
        <w:pStyle w:val="Heading1"/>
        <w:spacing w:before="210" w:after="90" w:line="280" w:lineRule="auto"/>
        <w:keepNext/>
      </w:pPr>
      <w:r>
        <w:rPr>
          <w:b/>
        </w:rPr>
        <w:t xml:space="preserve">The proposed solution</w:t>
      </w:r>
    </w:p>
    <w:p>
      <w:pPr>
        <w:spacing w:before="0" w:after="100" w:line="280" w:lineRule="auto"/>
      </w:pPr>
      <w:r>
        <w:t xml:space="preserve">FlowGuard is intended to give teams a focused workspace where related operational work is easier to find and manage. The goal is not to add another place to search; it is to bring useful work views together so managers can review travel activity and team-level insights with less switching between separate workflows.</w:t>
      </w:r>
    </w:p>
    <w:p>
      <w:pPr>
        <w:pStyle w:val="Heading1"/>
        <w:spacing w:before="210" w:after="90" w:line="280" w:lineRule="auto"/>
        <w:keepNext/>
      </w:pPr>
      <w:r>
        <w:rPr>
          <w:b/>
        </w:rPr>
        <w:t xml:space="preserve">Who it is for</w:t>
      </w:r>
    </w:p>
    <w:p>
      <w:pPr>
        <w:spacing w:before="0" w:after="100" w:line="280" w:lineRule="auto"/>
      </w:pPr>
      <w:r>
        <w:t xml:space="preserve">FlowGuard is intended for small businesses, especially managers and team leads who coordinate people, client-related work, or travel across locations. Employees can use the Travel workspace to enter and follow travel requests. Managers can also use Insights to record and review team-level measures and coaching prompts.</w:t>
      </w:r>
    </w:p>
    <w:p>
      <w:pPr>
        <w:pageBreakBefore/>
      </w:pPr>
      <w:r>
        <w:t/>
      </w:r>
    </w:p>
    <w:p>
      <w:pPr>
        <w:spacing w:before="0" w:after="65" w:line="280" w:lineRule="auto"/>
      </w:pPr>
      <w:r>
        <w:rPr>
          <w:b/>
          <w:color w:val="147D78"/>
          <w:sz w:val="18"/>
          <w:szCs w:val="18"/>
        </w:rPr>
        <w:t xml:space="preserve">FLOWGUARD TODAY</w:t>
      </w:r>
    </w:p>
    <w:p>
      <w:pPr>
        <w:spacing w:before="0" w:after="140" w:line="280" w:lineRule="auto"/>
      </w:pPr>
      <w:r>
        <w:rPr>
          <w:b/>
          <w:color w:val="172B3A"/>
          <w:sz w:val="32"/>
          <w:szCs w:val="32"/>
        </w:rPr>
        <w:t xml:space="preserve">A useful starting point, with room to grow</w:t>
      </w:r>
    </w:p>
    <w:p>
      <w:pPr>
        <w:pStyle w:val="Heading1"/>
        <w:spacing w:before="210" w:after="90" w:line="280" w:lineRule="auto"/>
        <w:keepNext/>
      </w:pPr>
      <w:r>
        <w:rPr>
          <w:b/>
        </w:rPr>
        <w:t xml:space="preserve">What the workspace includes today</w:t>
      </w:r>
    </w:p>
    <w:tbl>
      <w:tblPr>
        <w:tblW w:w="0" w:type="auto"/>
        <w:tblLayout w:type="fixed"/>
        <w:tblBorders>
          <w:top w:val="single" w:sz="4" w:color="DFE5E8"/>
          <w:left w:val="single" w:sz="4" w:color="DFE5E8"/>
          <w:bottom w:val="single" w:sz="4" w:color="DFE5E8"/>
          <w:right w:val="single" w:sz="4" w:color="DFE5E8"/>
          <w:insideH w:val="single" w:sz="4" w:color="DFE5E8"/>
          <w:insideV w:val="single" w:sz="4" w:color="DFE5E8"/>
        </w:tblBorders>
        <w:tblCellMar>
          <w:top w:w="100" w:type="dxa"/>
          <w:start w:w="100" w:type="dxa"/>
          <w:bottom w:w="100" w:type="dxa"/>
          <w:end w:w="100" w:type="dxa"/>
        </w:tblCellMar>
      </w:tblPr>
      <w:tblGrid>
        <w:gridCol w:w="4680"/>
        <w:gridCol w:w="4680"/>
      </w:tblGrid>
      <w:tr>
        <w:tc>
          <w:tcPr>
            <w:tcW w:w="4680" w:type="dxa"/>
            <w:shd w:fill="F6FAFA" w:val="clear"/>
            <w:tcMar>
              <w:top w:w="120" w:type="dxa"/>
              <w:start w:w="120" w:type="dxa"/>
              <w:bottom w:w="120" w:type="dxa"/>
              <w:end w:w="120" w:type="dxa"/>
            </w:tcMar>
          </w:tcPr>
          <w:p>
            <w:pPr>
              <w:spacing w:before="0" w:after="55" w:line="280" w:lineRule="auto"/>
            </w:pPr>
            <w:r>
              <w:rPr>
                <w:b/>
                <w:color w:val="147D78"/>
                <w:sz w:val="17"/>
                <w:szCs w:val="17"/>
              </w:rPr>
              <w:t xml:space="preserve">TRAVEL</w:t>
            </w:r>
          </w:p>
          <w:p>
            <w:pPr>
              <w:spacing w:before="0" w:after="0" w:line="280" w:lineRule="auto"/>
            </w:pPr>
            <w:r>
              <w:rPr>
                <w:sz w:val="17"/>
                <w:szCs w:val="17"/>
              </w:rPr>
              <w:t xml:space="preserve">Create and manage requests with traveller, destination, dates, estimated cost, purpose, and an optional linked claim. Records can be reviewed and their status set to Requested, Approved, Booked, or Rejected.</w:t>
            </w:r>
          </w:p>
        </w:tc>
        <w:tc>
          <w:tcPr>
            <w:tcW w:w="4680" w:type="dxa"/>
            <w:shd w:fill="F6FAFA" w:val="clear"/>
            <w:tcMar>
              <w:top w:w="120" w:type="dxa"/>
              <w:start w:w="120" w:type="dxa"/>
              <w:bottom w:w="120" w:type="dxa"/>
              <w:end w:w="120" w:type="dxa"/>
            </w:tcMar>
          </w:tcPr>
          <w:p>
            <w:pPr>
              <w:spacing w:before="0" w:after="55" w:line="280" w:lineRule="auto"/>
            </w:pPr>
            <w:r>
              <w:rPr>
                <w:b/>
                <w:color w:val="147D78"/>
                <w:sz w:val="17"/>
                <w:szCs w:val="17"/>
              </w:rPr>
              <w:t xml:space="preserve">INSIGHTS</w:t>
            </w:r>
          </w:p>
          <w:p>
            <w:pPr>
              <w:spacing w:before="0" w:after="0" w:line="280" w:lineRule="auto"/>
            </w:pPr>
            <w:r>
              <w:rPr>
                <w:sz w:val="17"/>
                <w:szCs w:val="17"/>
              </w:rPr>
              <w:t xml:space="preserve">A manager-facing place to record and review team, person, or group metrics by period, with coaching notes intended to support conversations—not surveillance scores.</w:t>
            </w:r>
          </w:p>
        </w:tc>
      </w:tr>
    </w:tbl>
    <w:p>
      <w:pPr>
        <w:spacing w:before="80" w:after="100" w:line="280" w:lineRule="auto"/>
      </w:pPr>
      <w:r>
        <w:rPr>
          <w:i/>
          <w:color w:val="526575"/>
          <w:sz w:val="16"/>
          <w:szCs w:val="16"/>
        </w:rPr>
        <w:t xml:space="preserve">The Overview page provides a starting point to move between these modules. Travel requests and Insights entries are the current product scope described here.</w:t>
      </w:r>
    </w:p>
    <w:p>
      <w:pPr>
        <w:pStyle w:val="Heading1"/>
        <w:spacing w:before="210" w:after="90" w:line="280" w:lineRule="auto"/>
        <w:keepNext/>
      </w:pPr>
      <w:r>
        <w:rPr>
          <w:b/>
        </w:rPr>
        <w:t xml:space="preserve">A representative workflow</w:t>
      </w:r>
    </w:p>
    <w:p>
      <w:pPr>
        <w:pStyle w:val="ListParagraph"/>
        <w:spacing w:after="55"/>
        <w:ind w:left="320" w:hanging="190"/>
        <w:numPr>
          <w:ilvl w:val="0"/>
          <w:numId w:val="1"/>
        </w:numPr>
      </w:pPr>
      <w:r>
        <w:t xml:space="preserve">An employee adds a travel request with the traveller, destination, dates, estimated cost, and purpose.</w:t>
      </w:r>
    </w:p>
    <w:p>
      <w:pPr>
        <w:pStyle w:val="ListParagraph"/>
        <w:spacing w:after="55"/>
        <w:ind w:left="320" w:hanging="190"/>
        <w:numPr>
          <w:ilvl w:val="0"/>
          <w:numId w:val="1"/>
        </w:numPr>
      </w:pPr>
      <w:r>
        <w:t xml:space="preserve">A manager reviews the request and updates its status as the decision or booking progresses.</w:t>
      </w:r>
    </w:p>
    <w:p>
      <w:pPr>
        <w:pStyle w:val="ListParagraph"/>
        <w:spacing w:after="55"/>
        <w:ind w:left="320" w:hanging="190"/>
        <w:numPr>
          <w:ilvl w:val="0"/>
          <w:numId w:val="1"/>
        </w:numPr>
      </w:pPr>
      <w:r>
        <w:t xml:space="preserve">The team keeps related travel information in the Travel list and can link a claim reference to a request when useful.</w:t>
      </w:r>
    </w:p>
    <w:p>
      <w:pPr>
        <w:pStyle w:val="ListParagraph"/>
        <w:spacing w:after="55"/>
        <w:ind w:left="320" w:hanging="190"/>
        <w:numPr>
          <w:ilvl w:val="0"/>
          <w:numId w:val="1"/>
        </w:numPr>
      </w:pPr>
      <w:r>
        <w:t xml:space="preserve">Separately, a manager records a team-level measure and a coaching prompt in Insights, then reviews entries by team or search.</w:t>
      </w:r>
    </w:p>
    <w:p>
      <w:pPr>
        <w:pStyle w:val="ListParagraph"/>
        <w:spacing w:after="55"/>
        <w:ind w:left="320" w:hanging="190"/>
        <w:numPr>
          <w:ilvl w:val="0"/>
          <w:numId w:val="1"/>
        </w:numPr>
      </w:pPr>
      <w:r>
        <w:t xml:space="preserve">The manager returns to the workspace overview to move between the work areas without treating them as a full client record or email archive.</w:t>
      </w:r>
    </w:p>
    <w:p>
      <w:pPr>
        <w:pStyle w:val="Heading1"/>
        <w:spacing w:before="210" w:after="90" w:line="280" w:lineRule="auto"/>
        <w:keepNext/>
      </w:pPr>
      <w:r>
        <w:rPr>
          <w:b/>
        </w:rPr>
        <w:t xml:space="preserve">Practical value</w:t>
      </w:r>
    </w:p>
    <w:p>
      <w:pPr>
        <w:pStyle w:val="ListParagraph"/>
        <w:spacing w:after="55"/>
        <w:ind w:left="320" w:hanging="190"/>
        <w:numPr>
          <w:ilvl w:val="0"/>
          <w:numId w:val="1"/>
        </w:numPr>
      </w:pPr>
      <w:r>
        <w:t xml:space="preserve">Less time spent tracking down the current travel request or team update.</w:t>
      </w:r>
    </w:p>
    <w:p>
      <w:pPr>
        <w:pStyle w:val="ListParagraph"/>
        <w:spacing w:after="55"/>
        <w:ind w:left="320" w:hanging="190"/>
        <w:numPr>
          <w:ilvl w:val="0"/>
          <w:numId w:val="1"/>
        </w:numPr>
      </w:pPr>
      <w:r>
        <w:t xml:space="preserve">A clearer view of pending requests, recorded travel costs, and team-level entries.</w:t>
      </w:r>
    </w:p>
    <w:p>
      <w:pPr>
        <w:pStyle w:val="ListParagraph"/>
        <w:spacing w:after="55"/>
        <w:ind w:left="320" w:hanging="190"/>
        <w:numPr>
          <w:ilvl w:val="0"/>
          <w:numId w:val="1"/>
        </w:numPr>
      </w:pPr>
      <w:r>
        <w:t xml:space="preserve">A shared structure for recurring operational work, while keeping coaching notes focused on useful conversations.</w:t>
      </w:r>
    </w:p>
    <w:p>
      <w:pPr>
        <w:pStyle w:val="Heading1"/>
        <w:spacing w:before="210" w:after="90" w:line="280" w:lineRule="auto"/>
        <w:keepNext/>
      </w:pPr>
      <w:r>
        <w:rPr>
          <w:b/>
        </w:rPr>
        <w:t xml:space="preserve">Possible future direction — not available today</w:t>
      </w:r>
    </w:p>
    <w:p>
      <w:pPr>
        <w:spacing w:before="0" w:after="100" w:line="280" w:lineRule="auto"/>
      </w:pPr>
      <w:r>
        <w:t xml:space="preserve">A broader version of the idea could add a client context view that brings together relevant work across locations, or optional connections to Gmail and other tools so managers can find related communication alongside operational records. Those are possibilities for future exploration. FlowGuard today does not connect to Gmail or other email services, and it does not provide a comprehensive client-management record or unified search across external tools.</w:t>
      </w:r>
    </w:p>
    <w:p>
      <w:pPr>
        <w:spacing w:before="100" w:after="0" w:line="280" w:lineRule="auto"/>
      </w:pPr>
      <w:r>
        <w:rPr>
          <w:b/>
          <w:color w:val="172B3A"/>
          <w:sz w:val="18"/>
          <w:szCs w:val="18"/>
        </w:rPr>
        <w:t xml:space="preserve">FlowGuard brings Travel and Insights into one workspace today. The longer-term idea is to make the context around client work easier to find—without overstating what is built now.</w:t>
      </w:r>
    </w:p>
    <w:sectPr>
      <w:pgSz w:w="12240" w:h="15840"/>
      <w:pgMar w:top="1080" w:right="1440" w:bottom="1080" w:left="1440" w:header="540" w:footer="540"/>
      <w:headerReference xmlns:r="http://schemas.openxmlformats.org/officeDocument/2006/relationships" w:type="default" r:id="rId2"/>
      <w:footerReference xmlns:r="http://schemas.openxmlformats.org/officeDocument/2006/relationships" w:type="default" r:id="rId3"/>
    </w:sectPr>
  </w:body>
</w:document>
</file>

<file path=word/footer1.xml><?xml version="1.0" encoding="utf-8"?>
<w:ftr xmlns:w="http://schemas.openxmlformats.org/wordprocessingml/2006/main">
  <w:p>
    <w:pPr>
      <w:jc w:val="right"/>
      <w:spacing w:before="0" w:after="0"/>
      <w:pBdr>
        <w:top w:val="single" w:sz="6" w:space="5" w:color="DFE5E8"/>
      </w:pBdr>
    </w:pPr>
    <w:r>
      <w:rPr>
        <w:color w:val="8796A2"/>
        <w:sz w:val="16"/>
      </w:rPr>
      <w:t>FlowGuard  •  Project idea</w:t>
    </w:r>
  </w:p>
</w:ftr>
</file>

<file path=word/header1.xml><?xml version="1.0" encoding="utf-8"?>
<w:hdr xmlns:w="http://schemas.openxmlformats.org/wordprocessingml/2006/main">
  <w:p>
    <w:pPr>
      <w:pBdr>
        <w:bottom w:val="single" w:sz="6" w:space="5" w:color="DFE5E8"/>
      </w:pBdr>
      <w:spacing w:after="0"/>
    </w:pPr>
    <w:r>
      <w:rPr>
        <w:b/>
        <w:color w:val="147D78"/>
        <w:sz w:val="16"/>
      </w:rPr>
      <w:t>FLOWGUARD</w:t>
    </w:r>
    <w:r>
      <w:rPr>
        <w:color w:val="8796A2"/>
        <w:sz w:val="16"/>
      </w:rPr>
      <w:t xml:space="preserve">  |  Project idea</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320"/>
        </w:tabs>
        <w:ind w:left="320" w:hanging="190"/>
      </w:pPr>
      <w:rPr>
        <w:rFonts w:ascii="Aptos" w:hAnsi="Aptos"/>
      </w:rPr>
    </w:lvl>
  </w:abstractNum>
  <w:num w:numId="1">
    <w:abstractNumId w:val="0"/>
  </w:num>
</w:numbering>
</file>

<file path=word/styles.xml><?xml version="1.0" encoding="utf-8"?>
<w:styles xmlns:w="http://schemas.openxmlformats.org/wordprocessingml/2006/main">
  <w:docDefaults>
    <w:rPrDefault>
      <w:rPr>
        <w:rFonts w:ascii="Aptos" w:hAnsi="Aptos"/>
        <w:color w:val="263746"/>
        <w:sz w:val="20"/>
      </w:rPr>
    </w:rPrDefault>
    <w:pPrDefault>
      <w:pPr>
        <w:spacing w:after="100" w:line="280" w:lineRule="auto"/>
      </w:pPr>
    </w:pPrDefault>
  </w:docDefaults>
  <w:style w:type="paragraph" w:default="1" w:styleId="Normal">
    <w:name w:val="Normal"/>
    <w:qFormat/>
  </w:style>
  <w:style w:type="paragraph" w:styleId="Heading1">
    <w:name w:val="heading 1"/>
    <w:basedOn w:val="Normal"/>
    <w:qFormat/>
    <w:pPr>
      <w:keepNext/>
      <w:spacing w:before="240" w:after="90"/>
    </w:pPr>
    <w:rPr>
      <w:rFonts w:ascii="Aptos Display" w:hAnsi="Aptos Display"/>
      <w:b/>
      <w:color w:val="172B3A"/>
      <w:sz w:val="27"/>
    </w:rPr>
  </w:style>
  <w:style w:type="paragraph" w:styleId="ListParagraph">
    <w:name w:val="List Paragraph"/>
    <w:basedOn w:val="Normal"/>
    <w:pPr>
      <w:spacing w:after="5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s>
</file>