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ptos" w:hAnsi="Aptos"/>
          <w:b/>
          <w:color w:val="12605B"/>
          <w:sz w:val="20"/>
        </w:rPr>
        <w:t>FLOWGUARD</w:t>
      </w:r>
    </w:p>
    <w:p>
      <w:pPr>
        <w:pStyle w:val="Title"/>
      </w:pPr>
      <w:r>
        <w:t>Proof of Use</w:t>
      </w:r>
    </w:p>
    <w:p>
      <w:pPr>
        <w:spacing w:after="200"/>
      </w:pPr>
      <w:r>
        <w:rPr>
          <w:color w:val="4F5E61"/>
          <w:sz w:val="28"/>
        </w:rPr>
        <w:t>Replit workspace and RunPod inference evidence</w:t>
      </w:r>
    </w:p>
    <w:tbl>
      <w:tblPr>
        <w:tblW w:type="auto" w:w="0"/>
        <w:jc w:val="center"/>
        <w:tblLook w:firstColumn="1" w:firstRow="1" w:lastColumn="0" w:lastRow="0" w:noHBand="0" w:noVBand="1" w:val="04A0"/>
        <w:tblBorders>
          <w:top w:val="single" w:sz="8" w:space="0" w:color="E6C472"/>
          <w:left w:val="single" w:sz="8" w:space="0" w:color="E6C472"/>
          <w:bottom w:val="single" w:sz="8" w:space="0" w:color="E6C472"/>
          <w:right w:val="single" w:sz="8" w:space="0" w:color="E6C472"/>
          <w:insideH w:val="single" w:sz="8" w:space="0" w:color="E6C472"/>
          <w:insideV w:val="single" w:sz="8" w:space="0" w:color="E6C472"/>
        </w:tblBorders>
      </w:tblPr>
      <w:tblGrid>
        <w:gridCol w:w="10080"/>
      </w:tblGrid>
      <w:tr>
        <w:tc>
          <w:tcPr>
            <w:tcW w:type="dxa" w:w="10080"/>
            <w:shd w:fill="FFF6D9"/>
            <w:vAlign w:val="center"/>
          </w:tcPr>
          <w:p>
            <w:pPr>
              <w:spacing w:after="20"/>
            </w:pPr>
            <w:r/>
            <w:r>
              <w:rPr>
                <w:rFonts w:ascii="Aptos" w:hAnsi="Aptos"/>
                <w:b/>
                <w:color w:val="76551A"/>
                <w:sz w:val="18"/>
              </w:rPr>
              <w:t>DRAFT — SUPPORTING EVIDENCE ONLY · NOT THE OFFICIAL SDC PROOF FORM</w:t>
            </w:r>
          </w:p>
        </w:tc>
      </w:tr>
    </w:tbl>
    <w:p/>
    <w:tbl>
      <w:tblPr>
        <w:tblW w:type="auto" w:w="0"/>
        <w:jc w:val="center"/>
        <w:tblLayout w:type="fixed"/>
        <w:tblLook w:firstColumn="1" w:firstRow="1" w:lastColumn="0" w:lastRow="0" w:noHBand="0" w:noVBand="1" w:val="04A0"/>
        <w:tblBorders>
          <w:top w:val="single" w:sz="5" w:space="0" w:color="D9E2DF"/>
          <w:left w:val="single" w:sz="5" w:space="0" w:color="D9E2DF"/>
          <w:bottom w:val="single" w:sz="5" w:space="0" w:color="D9E2DF"/>
          <w:right w:val="single" w:sz="5" w:space="0" w:color="D9E2DF"/>
          <w:insideH w:val="single" w:sz="5" w:space="0" w:color="D9E2DF"/>
          <w:insideV w:val="single" w:sz="5" w:space="0" w:color="D9E2DF"/>
        </w:tblBorders>
      </w:tblPr>
      <w:tblGrid>
        <w:gridCol w:w="2016"/>
        <w:gridCol w:w="8064"/>
      </w:tblGrid>
      <w:tr>
        <w:tc>
          <w:tcPr>
            <w:tcW w:type="dxa" w:w="2016"/>
            <w:vAlign w:val="center"/>
            <w:shd w:fill="14383A"/>
          </w:tcPr>
          <w:p>
            <w:pPr>
              <w:spacing w:after="20"/>
            </w:pPr>
            <w:r/>
            <w:r>
              <w:rPr>
                <w:rFonts w:ascii="Aptos" w:hAnsi="Aptos"/>
                <w:b/>
                <w:color w:val="FFFFFF"/>
                <w:sz w:val="18"/>
              </w:rPr>
              <w:t>Project details</w:t>
            </w:r>
          </w:p>
        </w:tc>
        <w:tc>
          <w:tcPr>
            <w:tcW w:type="dxa" w:w="8064"/>
            <w:vAlign w:val="center"/>
            <w:shd w:fill="14383A"/>
          </w:tcPr>
          <w:p>
            <w:pPr>
              <w:spacing w:after="20"/>
            </w:pPr>
            <w:r/>
            <w:r>
              <w:rPr>
                <w:rFonts w:ascii="Aptos" w:hAnsi="Aptos"/>
                <w:b/>
                <w:color w:val="FFFFFF"/>
                <w:sz w:val="18"/>
              </w:rPr>
              <w:t>Information</w:t>
            </w:r>
          </w:p>
        </w:tc>
      </w:tr>
      <w:tr>
        <w:tc>
          <w:tcPr>
            <w:tcW w:type="dxa" w:w="2016"/>
            <w:vAlign w:val="center"/>
          </w:tcPr>
          <w:p>
            <w:pPr>
              <w:spacing w:after="20"/>
            </w:pPr>
            <w:r/>
            <w:r>
              <w:rPr>
                <w:rFonts w:ascii="Aptos" w:hAnsi="Aptos"/>
                <w:b w:val="0"/>
                <w:sz w:val="18"/>
              </w:rPr>
              <w:t>Project</w:t>
            </w:r>
          </w:p>
        </w:tc>
        <w:tc>
          <w:tcPr>
            <w:tcW w:type="dxa" w:w="8064"/>
            <w:vAlign w:val="center"/>
          </w:tcPr>
          <w:p>
            <w:pPr>
              <w:spacing w:after="20"/>
            </w:pPr>
            <w:r/>
            <w:r>
              <w:rPr>
                <w:rFonts w:ascii="Aptos" w:hAnsi="Aptos"/>
                <w:b w:val="0"/>
                <w:sz w:val="18"/>
              </w:rPr>
              <w:t>FlowGuard — shared workspace for travel requests, manager decisions, and activity history</w:t>
            </w:r>
          </w:p>
        </w:tc>
      </w:tr>
      <w:tr>
        <w:tc>
          <w:tcPr>
            <w:tcW w:type="dxa" w:w="2016"/>
            <w:vAlign w:val="center"/>
            <w:shd w:fill="F1F6F4"/>
          </w:tcPr>
          <w:p>
            <w:pPr>
              <w:spacing w:after="20"/>
            </w:pPr>
            <w:r/>
            <w:r>
              <w:rPr>
                <w:rFonts w:ascii="Aptos" w:hAnsi="Aptos"/>
                <w:b w:val="0"/>
                <w:sz w:val="18"/>
              </w:rPr>
              <w:t>Team</w:t>
            </w:r>
          </w:p>
        </w:tc>
        <w:tc>
          <w:tcPr>
            <w:tcW w:type="dxa" w:w="8064"/>
            <w:vAlign w:val="center"/>
            <w:shd w:fill="F1F6F4"/>
          </w:tcPr>
          <w:p>
            <w:pPr>
              <w:spacing w:after="20"/>
            </w:pPr>
            <w:r/>
            <w:r>
              <w:rPr>
                <w:rFonts w:ascii="Aptos" w:hAnsi="Aptos"/>
                <w:b w:val="0"/>
                <w:sz w:val="18"/>
              </w:rPr>
              <w:t>Avengers · Asia Pacific University</w:t>
            </w:r>
          </w:p>
        </w:tc>
      </w:tr>
      <w:tr>
        <w:tc>
          <w:tcPr>
            <w:tcW w:type="dxa" w:w="2016"/>
            <w:vAlign w:val="center"/>
          </w:tcPr>
          <w:p>
            <w:pPr>
              <w:spacing w:after="20"/>
            </w:pPr>
            <w:r/>
            <w:r>
              <w:rPr>
                <w:rFonts w:ascii="Aptos" w:hAnsi="Aptos"/>
                <w:b w:val="0"/>
                <w:sz w:val="18"/>
              </w:rPr>
              <w:t>Event</w:t>
            </w:r>
          </w:p>
        </w:tc>
        <w:tc>
          <w:tcPr>
            <w:tcW w:type="dxa" w:w="8064"/>
            <w:vAlign w:val="center"/>
          </w:tcPr>
          <w:p>
            <w:pPr>
              <w:spacing w:after="20"/>
            </w:pPr>
            <w:r/>
            <w:r>
              <w:rPr>
                <w:rFonts w:ascii="Aptos" w:hAnsi="Aptos"/>
                <w:b w:val="0"/>
                <w:sz w:val="18"/>
              </w:rPr>
              <w:t>SDC 2026</w:t>
            </w:r>
          </w:p>
        </w:tc>
      </w:tr>
      <w:tr>
        <w:tc>
          <w:tcPr>
            <w:tcW w:type="dxa" w:w="2016"/>
            <w:vAlign w:val="center"/>
            <w:shd w:fill="F1F6F4"/>
          </w:tcPr>
          <w:p>
            <w:pPr>
              <w:spacing w:after="20"/>
            </w:pPr>
            <w:r/>
            <w:r>
              <w:rPr>
                <w:rFonts w:ascii="Aptos" w:hAnsi="Aptos"/>
                <w:b w:val="0"/>
                <w:sz w:val="18"/>
              </w:rPr>
              <w:t>Document date</w:t>
            </w:r>
          </w:p>
        </w:tc>
        <w:tc>
          <w:tcPr>
            <w:tcW w:type="dxa" w:w="8064"/>
            <w:vAlign w:val="center"/>
            <w:shd w:fill="F1F6F4"/>
          </w:tcPr>
          <w:p>
            <w:pPr>
              <w:spacing w:after="20"/>
            </w:pPr>
            <w:r/>
            <w:r>
              <w:rPr>
                <w:rFonts w:ascii="Aptos" w:hAnsi="Aptos"/>
                <w:b w:val="0"/>
                <w:sz w:val="18"/>
              </w:rPr>
              <w:t>25 October 2026</w:t>
            </w:r>
          </w:p>
        </w:tc>
      </w:tr>
      <w:tr>
        <w:tc>
          <w:tcPr>
            <w:tcW w:type="dxa" w:w="2016"/>
            <w:vAlign w:val="center"/>
          </w:tcPr>
          <w:p>
            <w:pPr>
              <w:spacing w:after="20"/>
            </w:pPr>
            <w:r/>
            <w:r>
              <w:rPr>
                <w:rFonts w:ascii="Aptos" w:hAnsi="Aptos"/>
                <w:b w:val="0"/>
                <w:sz w:val="18"/>
              </w:rPr>
              <w:t>Evidence scope</w:t>
            </w:r>
          </w:p>
        </w:tc>
        <w:tc>
          <w:tcPr>
            <w:tcW w:type="dxa" w:w="8064"/>
            <w:vAlign w:val="center"/>
          </w:tcPr>
          <w:p>
            <w:pPr>
              <w:spacing w:after="20"/>
            </w:pPr>
            <w:r/>
            <w:r>
              <w:rPr>
                <w:rFonts w:ascii="Aptos" w:hAnsi="Aptos"/>
                <w:b w:val="0"/>
                <w:sz w:val="18"/>
              </w:rPr>
              <w:t>Replit workspace use, one direct RunPod inference test, and supporting demo timeline</w:t>
            </w:r>
          </w:p>
        </w:tc>
      </w:tr>
    </w:tbl>
    <w:p>
      <w:pPr>
        <w:spacing w:after="20"/>
      </w:pPr>
    </w:p>
    <w:p>
      <w:pPr>
        <w:pStyle w:val="Heading1"/>
      </w:pPr>
      <w:r>
        <w:t>Executive summary</w:t>
      </w:r>
    </w:p>
    <w:p>
      <w:r>
        <w:t>FlowGuard was developed and run in a Replit workspace. The current evidence image shows the app preview, but not the Replit workspace or its running-workflow panel. A genuine workspace capture is still needed for a complete Replit proof.</w:t>
      </w:r>
    </w:p>
    <w:p>
      <w:r>
        <w:t>The project evidence index records one direct synthetic-data request to RunPod’s Qwen3 32B AWQ public endpoint on 24 October 2026. The reported response was HTTP 200 with status COMPLETED, but the generated content was irrelevant and was not used for a decision. This supports only a limited endpoint-utilization claim; it does not prove a working or reliable FlowGuard manager-to-RunPod feature.</w:t>
      </w:r>
    </w:p>
    <w:tbl>
      <w:tblPr>
        <w:tblW w:type="auto" w:w="0"/>
        <w:jc w:val="center"/>
        <w:tblLayout w:type="fixed"/>
        <w:tblLook w:firstColumn="1" w:firstRow="1" w:lastColumn="0" w:lastRow="0" w:noHBand="0" w:noVBand="1" w:val="04A0"/>
        <w:tblBorders>
          <w:top w:val="single" w:sz="5" w:space="0" w:color="D9E2DF"/>
          <w:left w:val="single" w:sz="5" w:space="0" w:color="D9E2DF"/>
          <w:bottom w:val="single" w:sz="5" w:space="0" w:color="D9E2DF"/>
          <w:right w:val="single" w:sz="5" w:space="0" w:color="D9E2DF"/>
          <w:insideH w:val="single" w:sz="5" w:space="0" w:color="D9E2DF"/>
          <w:insideV w:val="single" w:sz="5" w:space="0" w:color="D9E2DF"/>
        </w:tblBorders>
      </w:tblPr>
      <w:tblGrid>
        <w:gridCol w:w="1800"/>
        <w:gridCol w:w="8280"/>
      </w:tblGrid>
      <w:tr>
        <w:tc>
          <w:tcPr>
            <w:tcW w:type="dxa" w:w="1800"/>
            <w:vAlign w:val="center"/>
            <w:shd w:fill="14383A"/>
          </w:tcPr>
          <w:p>
            <w:pPr>
              <w:spacing w:after="20"/>
            </w:pPr>
            <w:r/>
            <w:r>
              <w:rPr>
                <w:rFonts w:ascii="Aptos" w:hAnsi="Aptos"/>
                <w:b/>
                <w:color w:val="FFFFFF"/>
                <w:sz w:val="18"/>
              </w:rPr>
              <w:t>Evidence item</w:t>
            </w:r>
          </w:p>
        </w:tc>
        <w:tc>
          <w:tcPr>
            <w:tcW w:type="dxa" w:w="8280"/>
            <w:vAlign w:val="center"/>
            <w:shd w:fill="14383A"/>
          </w:tcPr>
          <w:p>
            <w:pPr>
              <w:spacing w:after="20"/>
            </w:pPr>
            <w:r/>
            <w:r>
              <w:rPr>
                <w:rFonts w:ascii="Aptos" w:hAnsi="Aptos"/>
                <w:b/>
                <w:color w:val="FFFFFF"/>
                <w:sz w:val="18"/>
              </w:rPr>
              <w:t>Current status and claim limits</w:t>
            </w:r>
          </w:p>
        </w:tc>
      </w:tr>
      <w:tr>
        <w:tc>
          <w:tcPr>
            <w:tcW w:type="dxa" w:w="1800"/>
            <w:vAlign w:val="center"/>
          </w:tcPr>
          <w:p>
            <w:pPr>
              <w:spacing w:after="20"/>
            </w:pPr>
            <w:r/>
            <w:r>
              <w:rPr>
                <w:rFonts w:ascii="Aptos" w:hAnsi="Aptos"/>
                <w:b w:val="0"/>
                <w:sz w:val="18"/>
              </w:rPr>
              <w:t>Replit</w:t>
            </w:r>
          </w:p>
        </w:tc>
        <w:tc>
          <w:tcPr>
            <w:tcW w:type="dxa" w:w="8280"/>
            <w:vAlign w:val="center"/>
          </w:tcPr>
          <w:p>
            <w:pPr>
              <w:spacing w:after="20"/>
            </w:pPr>
            <w:r/>
            <w:r>
              <w:rPr>
                <w:rFonts w:ascii="Aptos" w:hAnsi="Aptos"/>
                <w:b w:val="0"/>
                <w:sz w:val="18"/>
              </w:rPr>
              <w:t>App preview screenshot is included. Workspace identity and running workflows are not visible; capture them in Replit before submission.</w:t>
            </w:r>
          </w:p>
        </w:tc>
      </w:tr>
      <w:tr>
        <w:tc>
          <w:tcPr>
            <w:tcW w:type="dxa" w:w="1800"/>
            <w:vAlign w:val="center"/>
            <w:shd w:fill="F1F6F4"/>
          </w:tcPr>
          <w:p>
            <w:pPr>
              <w:spacing w:after="20"/>
            </w:pPr>
            <w:r/>
            <w:r>
              <w:rPr>
                <w:rFonts w:ascii="Aptos" w:hAnsi="Aptos"/>
                <w:b w:val="0"/>
                <w:sz w:val="18"/>
              </w:rPr>
              <w:t>RunPod</w:t>
            </w:r>
          </w:p>
        </w:tc>
        <w:tc>
          <w:tcPr>
            <w:tcW w:type="dxa" w:w="8280"/>
            <w:vAlign w:val="center"/>
            <w:shd w:fill="F1F6F4"/>
          </w:tcPr>
          <w:p>
            <w:pPr>
              <w:spacing w:after="20"/>
            </w:pPr>
            <w:r/>
            <w:r>
              <w:rPr>
                <w:rFonts w:ascii="Aptos" w:hAnsi="Aptos"/>
                <w:b w:val="0"/>
                <w:sz w:val="18"/>
              </w:rPr>
              <w:t>One direct test is recorded in the team evidence note. The provider dashboard request/usage record is not attached or independently verified.</w:t>
            </w:r>
          </w:p>
        </w:tc>
      </w:tr>
      <w:tr>
        <w:tc>
          <w:tcPr>
            <w:tcW w:type="dxa" w:w="1800"/>
            <w:vAlign w:val="center"/>
          </w:tcPr>
          <w:p>
            <w:pPr>
              <w:spacing w:after="20"/>
            </w:pPr>
            <w:r/>
            <w:r>
              <w:rPr>
                <w:rFonts w:ascii="Aptos" w:hAnsi="Aptos"/>
                <w:b w:val="0"/>
                <w:sz w:val="18"/>
              </w:rPr>
              <w:t>Demo transcript</w:t>
            </w:r>
          </w:p>
        </w:tc>
        <w:tc>
          <w:tcPr>
            <w:tcW w:type="dxa" w:w="8280"/>
            <w:vAlign w:val="center"/>
          </w:tcPr>
          <w:p>
            <w:pPr>
              <w:spacing w:after="20"/>
            </w:pPr>
            <w:r/>
            <w:r>
              <w:rPr>
                <w:rFonts w:ascii="Aptos" w:hAnsi="Aptos"/>
                <w:b w:val="0"/>
                <w:sz w:val="18"/>
              </w:rPr>
              <w:t>Timestamped narration supports the product workflow walkthrough only. It does not by itself prove Replit or RunPod utilization.</w:t>
            </w:r>
          </w:p>
        </w:tc>
      </w:tr>
    </w:tbl>
    <w:p>
      <w:pPr>
        <w:spacing w:after="20"/>
      </w:pPr>
    </w:p>
    <w:p>
      <w:pPr>
        <w:pStyle w:val="Heading1"/>
      </w:pPr>
      <w:r>
        <w:t>Demo transcript timeline</w:t>
      </w:r>
    </w:p>
    <w:p>
      <w:r>
        <w:t>These timestamps come from the supplied transcript. They identify the narrated product-demo sections; they are not provider logs or independent proof of platform use.</w:t>
      </w:r>
    </w:p>
    <w:tbl>
      <w:tblPr>
        <w:tblW w:type="auto" w:w="0"/>
        <w:jc w:val="center"/>
        <w:tblLayout w:type="fixed"/>
        <w:tblLook w:firstColumn="1" w:firstRow="1" w:lastColumn="0" w:lastRow="0" w:noHBand="0" w:noVBand="1" w:val="04A0"/>
        <w:tblBorders>
          <w:top w:val="single" w:sz="5" w:space="0" w:color="D9E2DF"/>
          <w:left w:val="single" w:sz="5" w:space="0" w:color="D9E2DF"/>
          <w:bottom w:val="single" w:sz="5" w:space="0" w:color="D9E2DF"/>
          <w:right w:val="single" w:sz="5" w:space="0" w:color="D9E2DF"/>
          <w:insideH w:val="single" w:sz="5" w:space="0" w:color="D9E2DF"/>
          <w:insideV w:val="single" w:sz="5" w:space="0" w:color="D9E2DF"/>
        </w:tblBorders>
      </w:tblPr>
      <w:tblGrid>
        <w:gridCol w:w="1440"/>
        <w:gridCol w:w="2088"/>
        <w:gridCol w:w="6552"/>
      </w:tblGrid>
      <w:tr>
        <w:tc>
          <w:tcPr>
            <w:tcW w:type="dxa" w:w="1440"/>
            <w:vAlign w:val="center"/>
            <w:shd w:fill="14383A"/>
          </w:tcPr>
          <w:p>
            <w:pPr>
              <w:spacing w:after="20"/>
            </w:pPr>
            <w:r/>
            <w:r>
              <w:rPr>
                <w:rFonts w:ascii="Aptos" w:hAnsi="Aptos"/>
                <w:b/>
                <w:color w:val="FFFFFF"/>
                <w:sz w:val="18"/>
              </w:rPr>
              <w:t>Time</w:t>
            </w:r>
          </w:p>
        </w:tc>
        <w:tc>
          <w:tcPr>
            <w:tcW w:type="dxa" w:w="2088"/>
            <w:vAlign w:val="center"/>
            <w:shd w:fill="14383A"/>
          </w:tcPr>
          <w:p>
            <w:pPr>
              <w:spacing w:after="20"/>
            </w:pPr>
            <w:r/>
            <w:r>
              <w:rPr>
                <w:rFonts w:ascii="Aptos" w:hAnsi="Aptos"/>
                <w:b/>
                <w:color w:val="FFFFFF"/>
                <w:sz w:val="18"/>
              </w:rPr>
              <w:t>Section</w:t>
            </w:r>
          </w:p>
        </w:tc>
        <w:tc>
          <w:tcPr>
            <w:tcW w:type="dxa" w:w="6552"/>
            <w:vAlign w:val="center"/>
            <w:shd w:fill="14383A"/>
          </w:tcPr>
          <w:p>
            <w:pPr>
              <w:spacing w:after="20"/>
            </w:pPr>
            <w:r/>
            <w:r>
              <w:rPr>
                <w:rFonts w:ascii="Aptos" w:hAnsi="Aptos"/>
                <w:b/>
                <w:color w:val="FFFFFF"/>
                <w:sz w:val="18"/>
              </w:rPr>
              <w:t>What the narration describes</w:t>
            </w:r>
          </w:p>
        </w:tc>
      </w:tr>
      <w:tr>
        <w:tc>
          <w:tcPr>
            <w:tcW w:type="dxa" w:w="1440"/>
            <w:vAlign w:val="center"/>
          </w:tcPr>
          <w:p>
            <w:pPr>
              <w:spacing w:after="20"/>
            </w:pPr>
            <w:r/>
            <w:r>
              <w:rPr>
                <w:rFonts w:ascii="Aptos" w:hAnsi="Aptos"/>
                <w:b w:val="0"/>
                <w:sz w:val="18"/>
              </w:rPr>
              <w:t>00:00–00:14</w:t>
            </w:r>
          </w:p>
        </w:tc>
        <w:tc>
          <w:tcPr>
            <w:tcW w:type="dxa" w:w="2088"/>
            <w:vAlign w:val="center"/>
          </w:tcPr>
          <w:p>
            <w:pPr>
              <w:spacing w:after="20"/>
            </w:pPr>
            <w:r/>
            <w:r>
              <w:rPr>
                <w:rFonts w:ascii="Aptos" w:hAnsi="Aptos"/>
                <w:b w:val="0"/>
                <w:sz w:val="18"/>
              </w:rPr>
              <w:t>Introduction</w:t>
            </w:r>
          </w:p>
        </w:tc>
        <w:tc>
          <w:tcPr>
            <w:tcW w:type="dxa" w:w="6552"/>
            <w:vAlign w:val="center"/>
          </w:tcPr>
          <w:p>
            <w:pPr>
              <w:spacing w:after="20"/>
            </w:pPr>
            <w:r/>
            <w:r>
              <w:rPr>
                <w:rFonts w:ascii="Aptos" w:hAnsi="Aptos"/>
                <w:b w:val="0"/>
                <w:sz w:val="18"/>
              </w:rPr>
              <w:t>Introduces FlowGuard and the request-to-outcome walkthrough.</w:t>
            </w:r>
          </w:p>
        </w:tc>
      </w:tr>
      <w:tr>
        <w:tc>
          <w:tcPr>
            <w:tcW w:type="dxa" w:w="1440"/>
            <w:vAlign w:val="center"/>
            <w:shd w:fill="F1F6F4"/>
          </w:tcPr>
          <w:p>
            <w:pPr>
              <w:spacing w:after="20"/>
            </w:pPr>
            <w:r/>
            <w:r>
              <w:rPr>
                <w:rFonts w:ascii="Aptos" w:hAnsi="Aptos"/>
                <w:b w:val="0"/>
                <w:sz w:val="18"/>
              </w:rPr>
              <w:t>00:14–00:39</w:t>
            </w:r>
          </w:p>
        </w:tc>
        <w:tc>
          <w:tcPr>
            <w:tcW w:type="dxa" w:w="2088"/>
            <w:vAlign w:val="center"/>
            <w:shd w:fill="F1F6F4"/>
          </w:tcPr>
          <w:p>
            <w:pPr>
              <w:spacing w:after="20"/>
            </w:pPr>
            <w:r/>
            <w:r>
              <w:rPr>
                <w:rFonts w:ascii="Aptos" w:hAnsi="Aptos"/>
                <w:b w:val="0"/>
                <w:sz w:val="18"/>
              </w:rPr>
              <w:t>The Request</w:t>
            </w:r>
          </w:p>
        </w:tc>
        <w:tc>
          <w:tcPr>
            <w:tcW w:type="dxa" w:w="6552"/>
            <w:vAlign w:val="center"/>
            <w:shd w:fill="F1F6F4"/>
          </w:tcPr>
          <w:p>
            <w:pPr>
              <w:spacing w:after="20"/>
            </w:pPr>
            <w:r/>
            <w:r>
              <w:rPr>
                <w:rFonts w:ascii="Aptos" w:hAnsi="Aptos"/>
                <w:b w:val="0"/>
                <w:sz w:val="18"/>
              </w:rPr>
              <w:t>Synthetic travel details are entered and submitted as pending.</w:t>
            </w:r>
          </w:p>
        </w:tc>
      </w:tr>
      <w:tr>
        <w:tc>
          <w:tcPr>
            <w:tcW w:type="dxa" w:w="1440"/>
            <w:vAlign w:val="center"/>
          </w:tcPr>
          <w:p>
            <w:pPr>
              <w:spacing w:after="20"/>
            </w:pPr>
            <w:r/>
            <w:r>
              <w:rPr>
                <w:rFonts w:ascii="Aptos" w:hAnsi="Aptos"/>
                <w:b w:val="0"/>
                <w:sz w:val="18"/>
              </w:rPr>
              <w:t>00:39–01:01</w:t>
            </w:r>
          </w:p>
        </w:tc>
        <w:tc>
          <w:tcPr>
            <w:tcW w:type="dxa" w:w="2088"/>
            <w:vAlign w:val="center"/>
          </w:tcPr>
          <w:p>
            <w:pPr>
              <w:spacing w:after="20"/>
            </w:pPr>
            <w:r/>
            <w:r>
              <w:rPr>
                <w:rFonts w:ascii="Aptos" w:hAnsi="Aptos"/>
                <w:b w:val="0"/>
                <w:sz w:val="18"/>
              </w:rPr>
              <w:t>The Review Flag</w:t>
            </w:r>
          </w:p>
        </w:tc>
        <w:tc>
          <w:tcPr>
            <w:tcW w:type="dxa" w:w="6552"/>
            <w:vAlign w:val="center"/>
          </w:tcPr>
          <w:p>
            <w:pPr>
              <w:spacing w:after="20"/>
            </w:pPr>
            <w:r/>
            <w:r>
              <w:rPr>
                <w:rFonts w:ascii="Aptos" w:hAnsi="Aptos"/>
                <w:b w:val="0"/>
                <w:sz w:val="18"/>
              </w:rPr>
              <w:t>An illustrative MYR 1,000 threshold flags a MYR 1,500 request; it does not decide it.</w:t>
            </w:r>
          </w:p>
        </w:tc>
      </w:tr>
      <w:tr>
        <w:tc>
          <w:tcPr>
            <w:tcW w:type="dxa" w:w="1440"/>
            <w:vAlign w:val="center"/>
            <w:shd w:fill="F1F6F4"/>
          </w:tcPr>
          <w:p>
            <w:pPr>
              <w:spacing w:after="20"/>
            </w:pPr>
            <w:r/>
            <w:r>
              <w:rPr>
                <w:rFonts w:ascii="Aptos" w:hAnsi="Aptos"/>
                <w:b w:val="0"/>
                <w:sz w:val="18"/>
              </w:rPr>
              <w:t>01:01–01:25</w:t>
            </w:r>
          </w:p>
        </w:tc>
        <w:tc>
          <w:tcPr>
            <w:tcW w:type="dxa" w:w="2088"/>
            <w:vAlign w:val="center"/>
            <w:shd w:fill="F1F6F4"/>
          </w:tcPr>
          <w:p>
            <w:pPr>
              <w:spacing w:after="20"/>
            </w:pPr>
            <w:r/>
            <w:r>
              <w:rPr>
                <w:rFonts w:ascii="Aptos" w:hAnsi="Aptos"/>
                <w:b w:val="0"/>
                <w:sz w:val="18"/>
              </w:rPr>
              <w:t>Manager’s Decision</w:t>
            </w:r>
          </w:p>
        </w:tc>
        <w:tc>
          <w:tcPr>
            <w:tcW w:type="dxa" w:w="6552"/>
            <w:vAlign w:val="center"/>
            <w:shd w:fill="F1F6F4"/>
          </w:tcPr>
          <w:p>
            <w:pPr>
              <w:spacing w:after="20"/>
            </w:pPr>
            <w:r/>
            <w:r>
              <w:rPr>
                <w:rFonts w:ascii="Aptos" w:hAnsi="Aptos"/>
                <w:b w:val="0"/>
                <w:sz w:val="18"/>
              </w:rPr>
              <w:t>A separate manager reviews the request, enters a reason, and makes the decision.</w:t>
            </w:r>
          </w:p>
        </w:tc>
      </w:tr>
      <w:tr>
        <w:tc>
          <w:tcPr>
            <w:tcW w:type="dxa" w:w="1440"/>
            <w:vAlign w:val="center"/>
          </w:tcPr>
          <w:p>
            <w:pPr>
              <w:spacing w:after="20"/>
            </w:pPr>
            <w:r/>
            <w:r>
              <w:rPr>
                <w:rFonts w:ascii="Aptos" w:hAnsi="Aptos"/>
                <w:b w:val="0"/>
                <w:sz w:val="18"/>
              </w:rPr>
              <w:t>01:25–01:43</w:t>
            </w:r>
          </w:p>
        </w:tc>
        <w:tc>
          <w:tcPr>
            <w:tcW w:type="dxa" w:w="2088"/>
            <w:vAlign w:val="center"/>
          </w:tcPr>
          <w:p>
            <w:pPr>
              <w:spacing w:after="20"/>
            </w:pPr>
            <w:r/>
            <w:r>
              <w:rPr>
                <w:rFonts w:ascii="Aptos" w:hAnsi="Aptos"/>
                <w:b w:val="0"/>
                <w:sz w:val="18"/>
              </w:rPr>
              <w:t>The Outcome</w:t>
            </w:r>
          </w:p>
        </w:tc>
        <w:tc>
          <w:tcPr>
            <w:tcW w:type="dxa" w:w="6552"/>
            <w:vAlign w:val="center"/>
          </w:tcPr>
          <w:p>
            <w:pPr>
              <w:spacing w:after="20"/>
            </w:pPr>
            <w:r/>
            <w:r>
              <w:rPr>
                <w:rFonts w:ascii="Aptos" w:hAnsi="Aptos"/>
                <w:b w:val="0"/>
                <w:sz w:val="18"/>
              </w:rPr>
              <w:t>The employee sees the updated status and manager note.</w:t>
            </w:r>
          </w:p>
        </w:tc>
      </w:tr>
      <w:tr>
        <w:tc>
          <w:tcPr>
            <w:tcW w:type="dxa" w:w="1440"/>
            <w:vAlign w:val="center"/>
            <w:shd w:fill="F1F6F4"/>
          </w:tcPr>
          <w:p>
            <w:pPr>
              <w:spacing w:after="20"/>
            </w:pPr>
            <w:r/>
            <w:r>
              <w:rPr>
                <w:rFonts w:ascii="Aptos" w:hAnsi="Aptos"/>
                <w:b w:val="0"/>
                <w:sz w:val="18"/>
              </w:rPr>
              <w:t>01:43–02:04</w:t>
            </w:r>
          </w:p>
        </w:tc>
        <w:tc>
          <w:tcPr>
            <w:tcW w:type="dxa" w:w="2088"/>
            <w:vAlign w:val="center"/>
            <w:shd w:fill="F1F6F4"/>
          </w:tcPr>
          <w:p>
            <w:pPr>
              <w:spacing w:after="20"/>
            </w:pPr>
            <w:r/>
            <w:r>
              <w:rPr>
                <w:rFonts w:ascii="Aptos" w:hAnsi="Aptos"/>
                <w:b w:val="0"/>
                <w:sz w:val="18"/>
              </w:rPr>
              <w:t>Activity History</w:t>
            </w:r>
          </w:p>
        </w:tc>
        <w:tc>
          <w:tcPr>
            <w:tcW w:type="dxa" w:w="6552"/>
            <w:vAlign w:val="center"/>
            <w:shd w:fill="F1F6F4"/>
          </w:tcPr>
          <w:p>
            <w:pPr>
              <w:spacing w:after="20"/>
            </w:pPr>
            <w:r/>
            <w:r>
              <w:rPr>
                <w:rFonts w:ascii="Aptos" w:hAnsi="Aptos"/>
                <w:b w:val="0"/>
                <w:sz w:val="18"/>
              </w:rPr>
              <w:t>The submission and manager decision appear in the request history; no booking is claimed.</w:t>
            </w:r>
          </w:p>
        </w:tc>
      </w:tr>
      <w:tr>
        <w:tc>
          <w:tcPr>
            <w:tcW w:type="dxa" w:w="1440"/>
            <w:vAlign w:val="center"/>
          </w:tcPr>
          <w:p>
            <w:pPr>
              <w:spacing w:after="20"/>
            </w:pPr>
            <w:r/>
            <w:r>
              <w:rPr>
                <w:rFonts w:ascii="Aptos" w:hAnsi="Aptos"/>
                <w:b w:val="0"/>
                <w:sz w:val="18"/>
              </w:rPr>
              <w:t>02:04–02:34</w:t>
            </w:r>
          </w:p>
        </w:tc>
        <w:tc>
          <w:tcPr>
            <w:tcW w:type="dxa" w:w="2088"/>
            <w:vAlign w:val="center"/>
          </w:tcPr>
          <w:p>
            <w:pPr>
              <w:spacing w:after="20"/>
            </w:pPr>
            <w:r/>
            <w:r>
              <w:rPr>
                <w:rFonts w:ascii="Aptos" w:hAnsi="Aptos"/>
                <w:b w:val="0"/>
                <w:sz w:val="18"/>
              </w:rPr>
              <w:t>Closing</w:t>
            </w:r>
          </w:p>
        </w:tc>
        <w:tc>
          <w:tcPr>
            <w:tcW w:type="dxa" w:w="6552"/>
            <w:vAlign w:val="center"/>
          </w:tcPr>
          <w:p>
            <w:pPr>
              <w:spacing w:after="20"/>
            </w:pPr>
            <w:r/>
            <w:r>
              <w:rPr>
                <w:rFonts w:ascii="Aptos" w:hAnsi="Aptos"/>
                <w:b w:val="0"/>
                <w:sz w:val="18"/>
              </w:rPr>
              <w:t>Summarizes the workflow and human control.</w:t>
            </w:r>
          </w:p>
        </w:tc>
      </w:tr>
    </w:tbl>
    <w:p>
      <w:pPr>
        <w:spacing w:after="20"/>
      </w:pPr>
    </w:p>
    <w:p>
      <w:pPr>
        <w:pStyle w:val="Heading1"/>
      </w:pPr>
      <w:r>
        <w:t>Evidence still required before official submission</w:t>
      </w:r>
    </w:p>
    <w:p>
      <w:pPr>
        <w:pStyle w:val="ListBullet"/>
        <w:spacing w:after="40"/>
      </w:pPr>
      <w:r>
        <w:t>Replit: add a screenshot of the Replit workspace showing the FlowGuard web and API Server workflows running. Keep secret values hidden.</w:t>
      </w:r>
    </w:p>
    <w:p>
      <w:pPr>
        <w:pStyle w:val="ListBullet"/>
        <w:spacing w:after="40"/>
      </w:pPr>
      <w:r>
        <w:t>RunPod: add the provider request/usage record for the 24 October synthetic test, showing endpoint and status; redact keys, tokens, account email, and unrelated private information.</w:t>
      </w:r>
    </w:p>
    <w:p>
      <w:pPr>
        <w:pStyle w:val="ListBullet"/>
        <w:spacing w:after="40"/>
      </w:pPr>
      <w:r>
        <w:t>Confirm the organiser’s current proof form and whether the attached screenshots meet its required format.</w:t>
      </w:r>
    </w:p>
    <w:p>
      <w:pPr>
        <w:pStyle w:val="ListBullet"/>
        <w:spacing w:after="40"/>
      </w:pPr>
      <w:r>
        <w:t>Do not repeat a RunPod request solely for evidence unless the team checks current pricing and explicitly approves any possible charge.</w:t>
      </w:r>
    </w:p>
    <w:p>
      <w:pPr>
        <w:pStyle w:val="ListBullet"/>
        <w:spacing w:after="40"/>
      </w:pPr>
      <w:r>
        <w:t>Do not describe the unrelated model output as a successful product feature, or claim tested manager-route integration, model quality, measured savings, automatic approval, or travel booking.</w:t>
      </w:r>
    </w:p>
    <w:p>
      <w:r>
        <w:br w:type="page"/>
      </w:r>
    </w:p>
    <w:p>
      <w:pPr>
        <w:pStyle w:val="Heading1"/>
      </w:pPr>
      <w:r>
        <w:t>Exhibit A — Existing app and test-note image</w:t>
      </w:r>
    </w:p>
    <w:p>
      <w:pPr>
        <w:spacing w:after="80"/>
      </w:pPr>
      <w:r>
        <w:rPr>
          <w:i/>
          <w:color w:val="5F6A6C"/>
        </w:rPr>
        <w:t>Existing file: submission/evidence/flowguard-demo-and-runpod-note.png</w:t>
      </w:r>
    </w:p>
    <w:p>
      <w:pPr>
        <w:jc w:val="center"/>
      </w:pPr>
      <w:r>
        <w:drawing>
          <wp:inline xmlns:a="http://schemas.openxmlformats.org/drawingml/2006/main" xmlns:pic="http://schemas.openxmlformats.org/drawingml/2006/picture">
            <wp:extent cx="5074920" cy="6113593"/>
            <wp:docPr id="1" name="Picture 1"/>
            <wp:cNvGraphicFramePr>
              <a:graphicFrameLocks noChangeAspect="1"/>
            </wp:cNvGraphicFramePr>
            <a:graphic>
              <a:graphicData uri="http://schemas.openxmlformats.org/drawingml/2006/picture">
                <pic:pic>
                  <pic:nvPicPr>
                    <pic:cNvPr id="0" name="flowguard-demo-and-runpod-note.png"/>
                    <pic:cNvPicPr/>
                  </pic:nvPicPr>
                  <pic:blipFill>
                    <a:blip r:embed="rId11"/>
                    <a:stretch>
                      <a:fillRect/>
                    </a:stretch>
                  </pic:blipFill>
                  <pic:spPr>
                    <a:xfrm>
                      <a:off x="0" y="0"/>
                      <a:ext cx="5074920" cy="6113593"/>
                    </a:xfrm>
                    <a:prstGeom prst="rect"/>
                  </pic:spPr>
                </pic:pic>
              </a:graphicData>
            </a:graphic>
          </wp:inline>
        </w:drawing>
      </w:r>
    </w:p>
    <w:p>
      <w:pPr>
        <w:spacing w:before="60" w:after="160"/>
        <w:jc w:val="center"/>
      </w:pPr>
      <w:r>
        <w:rPr>
          <w:color w:val="5A6568"/>
          <w:sz w:val="16"/>
        </w:rPr>
        <w:t>The composite shows the FlowGuard Travel interface and includes a written note about the direct RunPod test. The app screenshot is supporting demo evidence. The note is team-authored and is not a provider-side usage record.</w:t>
      </w:r>
    </w:p>
    <w:p>
      <w:pPr>
        <w:pStyle w:val="Heading2"/>
      </w:pPr>
      <w:r>
        <w:t>Submission note</w:t>
      </w:r>
    </w:p>
    <w:p>
      <w:r>
        <w:t>This document is a draft evidence summary, not a completed official declaration. Replace or supplement it with the organiser’s current form and genuine Replit/RunPod screenshots. Do not submit it as complete while the required provider/workspace records are missing.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F73"/>
        <w:sz w:val="16"/>
      </w:rPr>
      <w:t xml:space="preserve">Supporting evidence draft · SDC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2605B"/>
      </w:rPr>
      <w:t>FLOWGUARD  /  SUBMISSION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1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83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260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38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FlowGuard Proof of Use — Draft</dc:title>
  <dc:subject>Replit and RunPod supporting evidence for SDC 2026</dc:subject>
  <dc:creator>FlowGuard Team</dc:creator>
  <cp:keywords>FlowGuard, Replit, RunPod, proof of use, SDC 2026</cp:keywords>
  <dc:description>generated by python-docx</dc:description>
  <cp:lastModifiedBy/>
  <cp:revision>1</cp:revision>
  <dcterms:created xsi:type="dcterms:W3CDTF">2013-12-23T23:15:00Z</dcterms:created>
  <dcterms:modified xsi:type="dcterms:W3CDTF">2013-12-23T23:15:00Z</dcterms:modified>
  <cp:category/>
</cp:coreProperties>
</file>