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Barner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needs-overview"/>
      <w:bookmarkEnd w:id="21"/>
      <w:r>
        <w:t xml:space="preserve">Needs Overview</w:t>
      </w:r>
    </w:p>
    <w:p>
      <w:pPr>
        <w:pStyle w:val="FirstParagraph"/>
      </w:pPr>
      <w:r>
        <w:t xml:space="preserve">How do needs differ across regions? We will look at this by sector.</w:t>
      </w:r>
    </w:p>
    <w:p>
      <w:pPr>
        <w:pStyle w:val="Heading2"/>
      </w:pPr>
      <w:bookmarkStart w:id="22" w:name="health"/>
      <w:bookmarkEnd w:id="22"/>
      <w:r>
        <w:t xml:space="preserve">Health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appears that the health need differ significantly (p &lt; 0.001) across regions.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0ac3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Analysis</dc:title>
  <dc:creator>Martin Barner</dc:creator>
  <dcterms:created xsi:type="dcterms:W3CDTF">2019-02-01T17:51:35Z</dcterms:created>
  <dcterms:modified xsi:type="dcterms:W3CDTF">2019-02-01T17:51:35Z</dcterms:modified>
</cp:coreProperties>
</file>