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52"/>
        <w:widowControl/>
      </w:pPr>
      <w:r>
        <w:rPr>
          <w:rFonts w:ascii="Noto Sans CJK SC" w:hAnsi="Noto Sans CJK SC" w:eastAsia="Noto Sans CJK SC" w:cs="Noto Sans CJK SC"/>
          <w:b/>
          <w:color w:val="2366A8"/>
          <w:sz w:val="24"/>
        </w:rPr>
        <w:t>COMPANY OS / ANC</w:t>
      </w:r>
    </w:p>
    <w:p>
      <w:pPr>
        <w:pStyle w:val="Title"/>
        <w:widowControl/>
      </w:pPr>
      <w:r>
        <w:rPr>
          <w:rFonts w:ascii="Noto Sans CJK SC" w:hAnsi="Noto Sans CJK SC" w:eastAsia="Noto Sans CJK SC" w:cs="Noto Sans CJK SC"/>
        </w:rPr>
        <w:t>演示证据报告</w:t>
      </w:r>
    </w:p>
    <w:p>
      <w:pPr>
        <w:pStyle w:val="Subtitle"/>
        <w:widowControl/>
      </w:pPr>
      <w:r>
        <w:rPr>
          <w:rFonts w:ascii="Noto Sans CJK SC" w:hAnsi="Noto Sans CJK SC" w:eastAsia="Noto Sans CJK SC" w:cs="Noto Sans CJK SC"/>
        </w:rPr>
        <w:t>为什么企业需要一个跨 Agent、跨模型、跨部署方式的公司控制平面</w:t>
      </w:r>
    </w:p>
    <w:p>
      <w:pPr>
        <w:spacing w:before="403" w:after="504"/>
        <w:widowControl/>
      </w:pPr>
      <w:r>
        <w:rPr>
          <w:rFonts w:ascii="Noto Sans CJK SC" w:hAnsi="Noto Sans CJK SC" w:eastAsia="Noto Sans CJK SC" w:cs="Noto Sans CJK SC"/>
          <w:color w:val="18324A"/>
          <w:sz w:val="26"/>
        </w:rPr>
        <w:t>市场采用 · ROI · Agent 治理 · 身份与权限 · 互操作标准 · 安全风险 · 全球法规 · 中国市场 · 产品验证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核心判断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rFonts w:ascii="Noto Sans CJK SC" w:hAnsi="Noto Sans CJK SC" w:eastAsia="Noto Sans CJK SC" w:cs="Noto Sans CJK SC"/>
              </w:rPr>
              <w:t>企业缺的不是另一个 Agent，而是管理所有 Agent 的组织、权限、审批、证据与责任基础设施。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目标听众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rFonts w:ascii="Noto Sans CJK SC" w:hAnsi="Noto Sans CJK SC" w:eastAsia="Noto Sans CJK SC" w:cs="Noto Sans CJK SC"/>
              </w:rPr>
              <w:t>企业客户、合作伙伴、投资人、内部决策者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研究范围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rFonts w:ascii="Noto Sans CJK SC" w:hAnsi="Noto Sans CJK SC" w:eastAsia="Noto Sans CJK SC" w:cs="Noto Sans CJK SC"/>
              </w:rPr>
              <w:t>全球 + 中国；重点覆盖 2023–2026 年的官方、标准、研究和市场证据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版本日期</w:t>
            </w:r>
          </w:p>
        </w:tc>
        <w:tc>
          <w:tcPr>
            <w:tcW w:type="dxa" w:w="77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rFonts w:ascii="Noto Sans CJK SC" w:hAnsi="Noto Sans CJK SC" w:eastAsia="Noto Sans CJK SC" w:cs="Noto Sans CJK SC"/>
              </w:rPr>
              <w:t>2026-09-04</w:t>
            </w:r>
          </w:p>
        </w:tc>
      </w:tr>
    </w:tbl>
    <w:p>
      <w:pPr>
        <w:spacing w:before="792"/>
        <w:widowControl/>
      </w:pPr>
      <w:r>
        <w:rPr>
          <w:rFonts w:ascii="Noto Sans CJK SC" w:hAnsi="Noto Sans CJK SC" w:eastAsia="Noto Sans CJK SC" w:cs="Noto Sans CJK SC"/>
          <w:b/>
          <w:color w:val="2366A8"/>
        </w:rPr>
        <w:t>研究纪律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法规/标准和独立研究用于核心结论；厂商调查用于趋势与品类验证；Company OS 自有证据只证明产品实现，不替代第三方客户案例。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本报告中的全部蓝色来源名称均为可点击链接。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一句话结论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Agent 正在从“聊天工具”进入工作流，但企业采用速度明显快于治理、身份、审计和规模化能力。NIST、欧盟 AI 法案、ISO、MCP 等标准与 ServiceNow、Salesforce、Microsoft、IBM、OpenAI 等产品动作共同证明：企业需要一个跨模型、跨 Agent、跨部署方式的控制层。Company OS 的机会不在于再做一个 Agent，而在于成为所有 Agent 的组织与责任基础设施。</w:t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使用规则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  <w:b/>
        </w:rPr>
        <w:t>A 级：官方法规、政府、标准、学术/非营利研究。</w:t>
      </w:r>
      <w:r>
        <w:rPr>
          <w:rFonts w:ascii="Noto Sans CJK SC" w:hAnsi="Noto Sans CJK SC" w:eastAsia="Noto Sans CJK SC" w:cs="Noto Sans CJK SC"/>
        </w:rPr>
        <w:t xml:space="preserve"> 可用于核心结论。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  <w:b/>
        </w:rPr>
        <w:t>B 级：大型咨询机构或跨行业调查。</w:t>
      </w:r>
      <w:r>
        <w:rPr>
          <w:rFonts w:ascii="Noto Sans CJK SC" w:hAnsi="Noto Sans CJK SC" w:eastAsia="Noto Sans CJK SC" w:cs="Noto Sans CJK SC"/>
        </w:rPr>
        <w:t xml:space="preserve"> 可用于趋势和市场信号，必须同时说明样本与年份。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  <w:b/>
        </w:rPr>
        <w:t>C 级：厂商调查、产品公告、遥测。</w:t>
      </w:r>
      <w:r>
        <w:rPr>
          <w:rFonts w:ascii="Noto Sans CJK SC" w:hAnsi="Noto Sans CJK SC" w:eastAsia="Noto Sans CJK SC" w:cs="Noto Sans CJK SC"/>
        </w:rPr>
        <w:t xml:space="preserve"> 可用于证明客户痛点或品类形成，不能单独证明 Company OS 优于竞品。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  <w:b/>
        </w:rPr>
        <w:t>D 级：Company OS 自有产品和验收证据。</w:t>
      </w:r>
      <w:r>
        <w:rPr>
          <w:rFonts w:ascii="Noto Sans CJK SC" w:hAnsi="Noto Sans CJK SC" w:eastAsia="Noto Sans CJK SC" w:cs="Noto Sans CJK SC"/>
        </w:rPr>
        <w:t xml:space="preserve"> 可证明“我们已经做到了什么”，不能代替第三方客户案例。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</w:rPr>
        <w:t>预测必须说“预计/预测”；调查关联不能说成因果；全球数据不能直接外推为中国市场份额。</w:t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10 页演示主线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1. AI 已从工具变成数字劳动力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企业正在把 AI 从个人助手推进到可执行工作流的 Agent。微软 2025 调查称，82% 的领导者预计未来 12–18 个月使用数字劳动力；McKinsey 报告 23% 的受访组织已在至少一个业务职能规模化 Agent，39% 处于试验阶段。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11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2025 Work Trend Index</w:t>
        </w:r>
      </w:hyperlink>
      <w:r>
        <w:rPr>
          <w:rFonts w:ascii="Noto Sans CJK SC" w:hAnsi="Noto Sans CJK SC" w:eastAsia="Noto Sans CJK SC" w:cs="Noto Sans CJK SC"/>
        </w:rPr>
        <w:t>（B/C）；</w:t>
      </w:r>
      <w:hyperlink r:id="rId12">
        <w:r>
          <w:rPr>
            <w:rFonts w:ascii="Noto Sans CJK SC" w:hAnsi="Noto Sans CJK SC" w:eastAsia="Noto Sans CJK SC" w:cs="Noto Sans CJK SC"/>
            <w:color w:val="2366A8"/>
            <w:u w:val="single"/>
          </w:rPr>
          <w:t>McKinsey State of AI 2025</w:t>
        </w:r>
      </w:hyperlink>
      <w:r>
        <w:rPr>
          <w:rFonts w:ascii="Noto Sans CJK SC" w:hAnsi="Noto Sans CJK SC" w:eastAsia="Noto Sans CJK SC" w:cs="Noto Sans CJK SC"/>
        </w:rPr>
        <w:t>（B）。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2. 采用很快，但规模化和回报还没跟上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Stanford 记录的企业 AI 使用率从 2023 年 55% 升至 2024 年 78%，但多数企业报告的成本和收入改善仍较小。IBM 的高管调查称，过去三年只有 25% 的 AI 项目达到预期 ROI。Gartner 预测，到 2027 年底超过 40% 的 Agentic AI 项目会因成本、价值不清或风险控制不足而取消。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13">
        <w:r>
          <w:rPr>
            <w:rFonts w:ascii="Noto Sans CJK SC" w:hAnsi="Noto Sans CJK SC" w:eastAsia="Noto Sans CJK SC" w:cs="Noto Sans CJK SC"/>
            <w:color w:val="2366A8"/>
            <w:u w:val="single"/>
          </w:rPr>
          <w:t>Stanford AI Index 2025—Economy</w:t>
        </w:r>
      </w:hyperlink>
      <w:r>
        <w:rPr>
          <w:rFonts w:ascii="Noto Sans CJK SC" w:hAnsi="Noto Sans CJK SC" w:eastAsia="Noto Sans CJK SC" w:cs="Noto Sans CJK SC"/>
        </w:rPr>
        <w:t>（A/B）；</w:t>
      </w:r>
      <w:hyperlink r:id="rId14">
        <w:r>
          <w:rPr>
            <w:rFonts w:ascii="Noto Sans CJK SC" w:hAnsi="Noto Sans CJK SC" w:eastAsia="Noto Sans CJK SC" w:cs="Noto Sans CJK SC"/>
            <w:color w:val="2366A8"/>
            <w:u w:val="single"/>
          </w:rPr>
          <w:t>IBM From AI projects to profits</w:t>
        </w:r>
      </w:hyperlink>
      <w:r>
        <w:rPr>
          <w:rFonts w:ascii="Noto Sans CJK SC" w:hAnsi="Noto Sans CJK SC" w:eastAsia="Noto Sans CJK SC" w:cs="Noto Sans CJK SC"/>
        </w:rPr>
        <w:t>（C）；</w:t>
      </w:r>
      <w:hyperlink r:id="rId15">
        <w:r>
          <w:rPr>
            <w:rFonts w:ascii="Noto Sans CJK SC" w:hAnsi="Noto Sans CJK SC" w:eastAsia="Noto Sans CJK SC" w:cs="Noto Sans CJK SC"/>
            <w:color w:val="2366A8"/>
            <w:u w:val="single"/>
          </w:rPr>
          <w:t>Gartner 2025 prediction</w:t>
        </w:r>
      </w:hyperlink>
      <w:r>
        <w:rPr>
          <w:rFonts w:ascii="Noto Sans CJK SC" w:hAnsi="Noto Sans CJK SC" w:eastAsia="Noto Sans CJK SC" w:cs="Noto Sans CJK SC"/>
        </w:rPr>
        <w:t>（C，预测）。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3. 真正缺的不是模型，而是企业控制平面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ServiceNow、Salesforce、Microsoft、IBM 和 OpenAI 都在推出“控制塔、命令中心、治理中心、企业 Agent 平台”。这不是单家公司的营销偶然，而是一个正在形成的企业基础设施品类。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16">
        <w:r>
          <w:rPr>
            <w:rFonts w:ascii="Noto Sans CJK SC" w:hAnsi="Noto Sans CJK SC" w:eastAsia="Noto Sans CJK SC" w:cs="Noto Sans CJK SC"/>
            <w:color w:val="2366A8"/>
            <w:u w:val="single"/>
          </w:rPr>
          <w:t>ServiceNow AI Control Tower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17">
        <w:r>
          <w:rPr>
            <w:rFonts w:ascii="Noto Sans CJK SC" w:hAnsi="Noto Sans CJK SC" w:eastAsia="Noto Sans CJK SC" w:cs="Noto Sans CJK SC"/>
            <w:color w:val="2366A8"/>
            <w:u w:val="single"/>
          </w:rPr>
          <w:t>Salesforce Agentforce 3 Command Center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18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Copilot Control System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19">
        <w:r>
          <w:rPr>
            <w:rFonts w:ascii="Noto Sans CJK SC" w:hAnsi="Noto Sans CJK SC" w:eastAsia="Noto Sans CJK SC" w:cs="Noto Sans CJK SC"/>
            <w:color w:val="2366A8"/>
            <w:u w:val="single"/>
          </w:rPr>
          <w:t>IBM watsonx.governance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20">
        <w:r>
          <w:rPr>
            <w:rFonts w:ascii="Noto Sans CJK SC" w:hAnsi="Noto Sans CJK SC" w:eastAsia="Noto Sans CJK SC" w:cs="Noto Sans CJK SC"/>
            <w:color w:val="2366A8"/>
            <w:u w:val="single"/>
          </w:rPr>
          <w:t>OpenAI Frontier</w:t>
        </w:r>
      </w:hyperlink>
      <w:r>
        <w:rPr>
          <w:rFonts w:ascii="Noto Sans CJK SC" w:hAnsi="Noto Sans CJK SC" w:eastAsia="Noto Sans CJK SC" w:cs="Noto Sans CJK SC"/>
        </w:rPr>
        <w:t>（均为 C；用于品类验证）。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4. 多模型、多 Agent、多工具会成为默认状态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Google 推动 A2A 解决 Agent 之间的跨厂商协作；Anthropic 用 MCP 标准化 Agent 与数据、工具的连接。NIST 2026 年启动 Agent 标准计划，重点就是互操作、安全、身份和授权。企业未来不会只用一个模型或一个 Agent，因此控制层必须供应商中立。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21">
        <w:r>
          <w:rPr>
            <w:rFonts w:ascii="Noto Sans CJK SC" w:hAnsi="Noto Sans CJK SC" w:eastAsia="Noto Sans CJK SC" w:cs="Noto Sans CJK SC"/>
            <w:color w:val="2366A8"/>
            <w:u w:val="single"/>
          </w:rPr>
          <w:t>Google A2A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22">
        <w:r>
          <w:rPr>
            <w:rFonts w:ascii="Noto Sans CJK SC" w:hAnsi="Noto Sans CJK SC" w:eastAsia="Noto Sans CJK SC" w:cs="Noto Sans CJK SC"/>
            <w:color w:val="2366A8"/>
            <w:u w:val="single"/>
          </w:rPr>
          <w:t>Anthropic MCP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23">
        <w:r>
          <w:rPr>
            <w:rFonts w:ascii="Noto Sans CJK SC" w:hAnsi="Noto Sans CJK SC" w:eastAsia="Noto Sans CJK SC" w:cs="Noto Sans CJK SC"/>
            <w:color w:val="2366A8"/>
            <w:u w:val="single"/>
          </w:rPr>
          <w:t>NIST AI Agent Standards Initiative</w:t>
        </w:r>
      </w:hyperlink>
      <w:r>
        <w:rPr>
          <w:rFonts w:ascii="Noto Sans CJK SC" w:hAnsi="Noto Sans CJK SC" w:eastAsia="Noto Sans CJK SC" w:cs="Noto Sans CJK SC"/>
        </w:rPr>
        <w:t>（A/C）。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5. Agent 身份与最小权限会成为硬要求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NIST 零信任原则要求不因网络位置或资产归属而隐式信任；Microsoft Entra 已把 Agent 身份作为独立治理对象；MCP 授权规范明确采用 OAuth 2.1、验证 token audience，并禁止 token passthrough。Agent 必须有自己的身份、授权边界和生命周期。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24">
        <w:r>
          <w:rPr>
            <w:rFonts w:ascii="Noto Sans CJK SC" w:hAnsi="Noto Sans CJK SC" w:eastAsia="Noto Sans CJK SC" w:cs="Noto Sans CJK SC"/>
            <w:color w:val="2366A8"/>
            <w:u w:val="single"/>
          </w:rPr>
          <w:t>NIST Zero Trust Architecture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25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Entra Agent ID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26">
        <w:r>
          <w:rPr>
            <w:rFonts w:ascii="Noto Sans CJK SC" w:hAnsi="Noto Sans CJK SC" w:eastAsia="Noto Sans CJK SC" w:cs="Noto Sans CJK SC"/>
            <w:color w:val="2366A8"/>
            <w:u w:val="single"/>
          </w:rPr>
          <w:t>MCP Authorization Specification</w:t>
        </w:r>
      </w:hyperlink>
      <w:r>
        <w:rPr>
          <w:rFonts w:ascii="Noto Sans CJK SC" w:hAnsi="Noto Sans CJK SC" w:eastAsia="Noto Sans CJK SC" w:cs="Noto Sans CJK SC"/>
        </w:rPr>
        <w:t>（A/C）。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6. 审批、日志和责任链不是附加功能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欧盟 AI 法案对高风险系统提出日志、透明度和人类监督要求；NIST AI RMF 要求在全生命周期治理、测量和管理风险；英国 NCSC 的联合指南强调安全部署、日志和持续监测。能回答“谁授权、Agent 做了什么、依据是什么、结果由谁负责”正在变成企业基础能力。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27">
        <w:r>
          <w:rPr>
            <w:rFonts w:ascii="Noto Sans CJK SC" w:hAnsi="Noto Sans CJK SC" w:eastAsia="Noto Sans CJK SC" w:cs="Noto Sans CJK SC"/>
            <w:color w:val="2366A8"/>
            <w:u w:val="single"/>
          </w:rPr>
          <w:t>EU AI Act 正文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28">
        <w:r>
          <w:rPr>
            <w:rFonts w:ascii="Noto Sans CJK SC" w:hAnsi="Noto Sans CJK SC" w:eastAsia="Noto Sans CJK SC" w:cs="Noto Sans CJK SC"/>
            <w:color w:val="2366A8"/>
            <w:u w:val="single"/>
          </w:rPr>
          <w:t>EU Commission AI Act overview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29">
        <w:r>
          <w:rPr>
            <w:rFonts w:ascii="Noto Sans CJK SC" w:hAnsi="Noto Sans CJK SC" w:eastAsia="Noto Sans CJK SC" w:cs="Noto Sans CJK SC"/>
            <w:color w:val="2366A8"/>
            <w:u w:val="single"/>
          </w:rPr>
          <w:t>NIST AI RMF GenAI Profile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30">
        <w:r>
          <w:rPr>
            <w:rFonts w:ascii="Noto Sans CJK SC" w:hAnsi="Noto Sans CJK SC" w:eastAsia="Noto Sans CJK SC" w:cs="Noto Sans CJK SC"/>
            <w:color w:val="2366A8"/>
            <w:u w:val="single"/>
          </w:rPr>
          <w:t>NCSC Secure AI System Development</w:t>
        </w:r>
      </w:hyperlink>
      <w:r>
        <w:rPr>
          <w:rFonts w:ascii="Noto Sans CJK SC" w:hAnsi="Noto Sans CJK SC" w:eastAsia="Noto Sans CJK SC" w:cs="Noto Sans CJK SC"/>
        </w:rPr>
        <w:t>（A）。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7. Shadow AI 已经是现实的数据与访问风险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IBM 2025 数据泄露研究称，63% 的受访组织尚无成熟 AI 治理政策，五分之一报告过涉及 Shadow AI 的泄露；Cisco 调查中 64% 的隐私和安全专业人士担心敏感信息泄露。Netskope 遥测显示，企业 AI 使用中大量活动仍发生在未受管理的应用里。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31">
        <w:r>
          <w:rPr>
            <w:rFonts w:ascii="Noto Sans CJK SC" w:hAnsi="Noto Sans CJK SC" w:eastAsia="Noto Sans CJK SC" w:cs="Noto Sans CJK SC"/>
            <w:color w:val="2366A8"/>
            <w:u w:val="single"/>
          </w:rPr>
          <w:t>IBM Cost of a Data Breach 2025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32">
        <w:r>
          <w:rPr>
            <w:rFonts w:ascii="Noto Sans CJK SC" w:hAnsi="Noto Sans CJK SC" w:eastAsia="Noto Sans CJK SC" w:cs="Noto Sans CJK SC"/>
            <w:color w:val="2366A8"/>
            <w:u w:val="single"/>
          </w:rPr>
          <w:t>Cisco Data Privacy Benchmark 2025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33">
        <w:r>
          <w:rPr>
            <w:rFonts w:ascii="Noto Sans CJK SC" w:hAnsi="Noto Sans CJK SC" w:eastAsia="Noto Sans CJK SC" w:cs="Noto Sans CJK SC"/>
            <w:color w:val="2366A8"/>
            <w:u w:val="single"/>
          </w:rPr>
          <w:t>Netskope Shadow AI and Agentic AI 2025</w:t>
        </w:r>
      </w:hyperlink>
      <w:r>
        <w:rPr>
          <w:rFonts w:ascii="Noto Sans CJK SC" w:hAnsi="Noto Sans CJK SC" w:eastAsia="Noto Sans CJK SC" w:cs="Noto Sans CJK SC"/>
        </w:rPr>
        <w:t>（B/C）。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8. 能力增长很快，但自治必须有边界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METR 的任务时长研究显示，前沿模型可可靠完成的任务时长在快速增长，但在长任务上可靠性仍明显下降。OpenAI 和 Anthropic 的工程指南都建议对高风险动作保留人工监督、权限边界和检查点。正确路线是“可审计的有界自治”，不是一次性放开所有权限。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34">
        <w:r>
          <w:rPr>
            <w:rFonts w:ascii="Noto Sans CJK SC" w:hAnsi="Noto Sans CJK SC" w:eastAsia="Noto Sans CJK SC" w:cs="Noto Sans CJK SC"/>
            <w:color w:val="2366A8"/>
            <w:u w:val="single"/>
          </w:rPr>
          <w:t>METR Measuring AI Ability to Complete Long Tasks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35">
        <w:r>
          <w:rPr>
            <w:rFonts w:ascii="Noto Sans CJK SC" w:hAnsi="Noto Sans CJK SC" w:eastAsia="Noto Sans CJK SC" w:cs="Noto Sans CJK SC"/>
            <w:color w:val="2366A8"/>
            <w:u w:val="single"/>
          </w:rPr>
          <w:t>OpenAI Practical Guide to Building AI Agents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36">
        <w:r>
          <w:rPr>
            <w:rFonts w:ascii="Noto Sans CJK SC" w:hAnsi="Noto Sans CJK SC" w:eastAsia="Noto Sans CJK SC" w:cs="Noto Sans CJK SC"/>
            <w:color w:val="2366A8"/>
            <w:u w:val="single"/>
          </w:rPr>
          <w:t>Anthropic Building Effective Agents</w:t>
        </w:r>
      </w:hyperlink>
      <w:r>
        <w:rPr>
          <w:rFonts w:ascii="Noto Sans CJK SC" w:hAnsi="Noto Sans CJK SC" w:eastAsia="Noto Sans CJK SC" w:cs="Noto Sans CJK SC"/>
        </w:rPr>
        <w:t>（A/B/C）。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9. 中国市场正在同时出现需求、政策和用户基础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CNNIC 报告 2025 年 12 月中国生成式 AI 用户达到 6.02 亿、普及率 42.8%。国务院“人工智能+”行动明确提出发展“模型即服务”“智能体即服务”和 AI 应用服务链。中国的机会不是是否采用 AI，而是如何把 Agent 安全接入真实组织。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37">
        <w:r>
          <w:rPr>
            <w:rFonts w:ascii="Noto Sans CJK SC" w:hAnsi="Noto Sans CJK SC" w:eastAsia="Noto Sans CJK SC" w:cs="Noto Sans CJK SC"/>
            <w:color w:val="2366A8"/>
            <w:u w:val="single"/>
          </w:rPr>
          <w:t>CNNIC 第57次中国互联网络发展状况统计报告发布信息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38">
        <w:r>
          <w:rPr>
            <w:rFonts w:ascii="Noto Sans CJK SC" w:hAnsi="Noto Sans CJK SC" w:eastAsia="Noto Sans CJK SC" w:cs="Noto Sans CJK SC"/>
            <w:color w:val="2366A8"/>
            <w:u w:val="single"/>
          </w:rPr>
          <w:t>国务院关于深入实施“人工智能+”行动的意见（公报 PDF）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39">
        <w:r>
          <w:rPr>
            <w:rFonts w:ascii="Noto Sans CJK SC" w:hAnsi="Noto Sans CJK SC" w:eastAsia="Noto Sans CJK SC" w:cs="Noto Sans CJK SC"/>
            <w:color w:val="2366A8"/>
            <w:u w:val="single"/>
          </w:rPr>
          <w:t>国家网信办《生成式人工智能服务管理暂行办法》</w:t>
        </w:r>
      </w:hyperlink>
      <w:r>
        <w:rPr>
          <w:rFonts w:ascii="Noto Sans CJK SC" w:hAnsi="Noto Sans CJK SC" w:eastAsia="Noto Sans CJK SC" w:cs="Noto Sans CJK SC"/>
        </w:rPr>
        <w:t>（A）。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10. Company OS 已经把这套原则做成可运行产品</w:t>
      </w:r>
    </w:p>
    <w:p>
      <w:pPr>
        <w:pStyle w:val="Stageline"/>
        <w:widowControl/>
      </w:pPr>
      <w:r>
        <w:rPr>
          <w:rFonts w:ascii="Noto Sans CJK SC" w:hAnsi="Noto Sans CJK SC" w:eastAsia="Noto Sans CJK SC" w:cs="Noto Sans CJK SC"/>
          <w:b/>
        </w:rPr>
        <w:t>台上说法：</w:t>
      </w:r>
      <w:r>
        <w:rPr>
          <w:rFonts w:ascii="Noto Sans CJK SC" w:hAnsi="Noto Sans CJK SC" w:eastAsia="Noto Sans CJK SC" w:cs="Noto Sans CJK SC"/>
        </w:rPr>
        <w:t xml:space="preserve"> Company OS 不是模型，也不是另一个聊天窗口；它管理公司、成员、Agent、工作、审批、证据和责任。公开 Demo 可现场演示，代码仓库可核验其供应商中立的分层架构、独立 Demo 边界、OIDC、多租户、故障关闭和发布验收合同。</w:t>
      </w:r>
    </w:p>
    <w:p>
      <w:pPr>
        <w:pStyle w:val="Evidence"/>
        <w:widowControl/>
      </w:pPr>
      <w:r>
        <w:rPr>
          <w:rFonts w:ascii="Noto Sans CJK SC" w:hAnsi="Noto Sans CJK SC" w:eastAsia="Noto Sans CJK SC" w:cs="Noto Sans CJK SC"/>
          <w:b/>
        </w:rPr>
        <w:t>证据：</w:t>
      </w:r>
      <w:r>
        <w:rPr>
          <w:rFonts w:ascii="Noto Sans CJK SC" w:hAnsi="Noto Sans CJK SC" w:eastAsia="Noto Sans CJK SC" w:cs="Noto Sans CJK SC"/>
        </w:rPr>
        <w:t xml:space="preserve"> </w:t>
      </w:r>
      <w:hyperlink r:id="rId40">
        <w:r>
          <w:rPr>
            <w:rFonts w:ascii="Noto Sans CJK SC" w:hAnsi="Noto Sans CJK SC" w:eastAsia="Noto Sans CJK SC" w:cs="Noto Sans CJK SC"/>
            <w:color w:val="2366A8"/>
            <w:u w:val="single"/>
          </w:rPr>
          <w:t>Company OS / ANC 公开站点与 Demo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41">
        <w:r>
          <w:rPr>
            <w:rFonts w:ascii="Noto Sans CJK SC" w:hAnsi="Noto Sans CJK SC" w:eastAsia="Noto Sans CJK SC" w:cs="Noto Sans CJK SC"/>
            <w:color w:val="2366A8"/>
            <w:u w:val="single"/>
          </w:rPr>
          <w:t>Company OS GitHub 仓库</w:t>
        </w:r>
      </w:hyperlink>
      <w:r>
        <w:rPr>
          <w:rFonts w:ascii="Noto Sans CJK SC" w:hAnsi="Noto Sans CJK SC" w:eastAsia="Noto Sans CJK SC" w:cs="Noto Sans CJK SC"/>
        </w:rPr>
        <w:t>、</w:t>
      </w:r>
      <w:hyperlink r:id="rId42">
        <w:r>
          <w:rPr>
            <w:rFonts w:ascii="Noto Sans CJK SC" w:hAnsi="Noto Sans CJK SC" w:eastAsia="Noto Sans CJK SC" w:cs="Noto Sans CJK SC"/>
            <w:color w:val="2366A8"/>
            <w:u w:val="single"/>
          </w:rPr>
          <w:t>GitHub Actions</w:t>
        </w:r>
      </w:hyperlink>
      <w:r>
        <w:rPr>
          <w:rFonts w:ascii="Noto Sans CJK SC" w:hAnsi="Noto Sans CJK SC" w:eastAsia="Noto Sans CJK SC" w:cs="Noto Sans CJK SC"/>
        </w:rPr>
        <w:t>（D）。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核心证据卡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可支持的主张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关键数字/事实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来源级别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演示使用提示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Agent 将成为数字劳动力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82% 领导者预计 12–18 个月内采用数字劳动力；46% 称组织正用 Agent 自动化工作流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B/C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说“微软全球调查显示”，不要说“所有企业”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Agent 已进入规模化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23% 受访组织在至少一个职能规模化，39% 正试验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与“多数尚未规模化”同时使用，制造真实张力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AI 采用已主流化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企业 AI 使用率 78%，生成式 AI 使用率 71%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数据为 2024 年调查结果，报告发布于 2025 年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回报仍不稳定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多数受访企业成本节省低于 10%、收入提升低于 5%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支持“需要运营系统”，不等于 AI 无价值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生产率潜力真实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AI 暴露行业生产率增长显著加速；AI 技能职位工资溢价 56%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B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PwC 基于近 10 亿招聘信息；属于宏观相关性分析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失败风险真实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Gartner 预测 2027 年底前超过 40% Agent 项目被取消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必须明确“预测”及三个原因：成本、价值不清、风控不足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集中治理与 ROI 相关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IBM 调查称集中/中心辐射式 AI 运营模式与 36% 更高 ROI 相关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厂商调查，仅作为方向性证据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多模型现实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IBM CAIO 调查称典型组织使用 11 个生成式 AI 模型，预计 2026 年底至少 16 个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支持供应商中立和统一目录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数据风险正在发生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IBM：五分之一组织报告涉及 Shadow AI 的泄露；此类环境平均增加 67 万美元泄露成本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只说“IBM 受访/研究样本”，避免全球普遍化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AI 事故增加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Stanford 记录 2024 年 AI 事件 233 起，同比增加 56.4%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A/B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支持审计、监督和事件响应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中国用户基础成形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2025 年 12 月生成式 AI 用户 6.02 亿，普及率 42.8%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CNNIC 官方口径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政策明确支持智能体服务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国务院提出发展“模型即服务”“智能体即服务”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可直接作为中国市场方向信号</w:t>
            </w:r>
          </w:p>
        </w:tc>
      </w:tr>
      <w:tr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标准正在收敛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NIST 明确把 Agent 互操作、安全、身份和授权列为重点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</w:t>
            </w:r>
          </w:p>
        </w:tc>
        <w:tc>
          <w:tcPr>
            <w:tcW w:type="dxa" w:w="25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强支撑 Company OS 的技术路线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Company OS 与证据的对应关系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外部证据指向的企业需求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Company OS 的产品回答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可展示内容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多模型、多 Agent 碎片化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供应商中立 Connector 与端口合同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架构图、Agent 资产组合、连接器健康状态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人与 Agent 身份混淆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公司成员、Agent、执行身份分离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公司空间、成员/组织、Agent 绑定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权限过大与凭据泄露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最小权限、Secret Broker 引用、控制平面不返回 Secret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权限页、Secret 空值与故障关闭行为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高风险动作不可控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精确动作审批、暂停/恢复、责任人绑定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Approval 流程、批准/拒绝、责任链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无法知道执行了什么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工作、尝试、事件、证据与结果引用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Work 页面、Evidence、审计事件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ROI 无法管理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目标、预算、运行状态和结果在同一控制面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Goal/Work/Run/预算与结果视图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SaaS 与私有部署割裂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一套代码、托管云与自托管两种 profile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`/start` 部署选择和运行边界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Demo 与生产容易混用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独立 fixture-only Demo runtime 与正式 API 隔离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首页 Demo 标签、重置、返回首页、正式公司空间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竞品与品类信号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这些产品证明“AI 控制平面”正在成为预算类别，但也说明 Company OS 不能只卖一个仪表盘。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对外定位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8324A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对 Company OS 的意义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ServiceNow AI Control Tower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管理任何 Agent、模型与工作流的可见性、治理、生命周期和价值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品类最直接的验证；Company OS 需强调独立、开放、部署中立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Salesforce Agentforce Command Center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解决 Agent 扩展时的可见性、控制与可观测性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证明 CRM 原生平台也在向控制层扩张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Microsoft Copilot Control System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安全治理、管理控制、度量报告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证明身份/合规/管理是企业采购核心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IBM watsonx.governance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多模型、多供应商 AI 生命周期与 GRC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证明混合、多供应商治理是长期需求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OpenAI Frontier / Workspace Agents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企业 Agent 运行、权限、审计、审批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证明模型厂商也在补企业控制层</w:t>
            </w:r>
          </w:p>
        </w:tc>
      </w:tr>
      <w:tr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Microsoft Entra Agent ID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Agent 身份、访问和生命周期治理</w:t>
            </w:r>
          </w:p>
        </w:tc>
        <w:tc>
          <w:tcPr>
            <w:tcW w:type="dxa" w:w="34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8FA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证明 Agent 将成为一等身份主体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rFonts w:ascii="Noto Sans CJK SC" w:hAnsi="Noto Sans CJK SC" w:eastAsia="Noto Sans CJK SC" w:cs="Noto Sans CJK SC"/>
          <w:b/>
        </w:rPr>
        <w:t>差异化表达：</w:t>
      </w:r>
      <w:r>
        <w:rPr>
          <w:rFonts w:ascii="Noto Sans CJK SC" w:hAnsi="Noto Sans CJK SC" w:eastAsia="Noto Sans CJK SC" w:cs="Noto Sans CJK SC"/>
        </w:rPr>
        <w:t xml:space="preserve"> “我们不是绑定某个模型、CRM、ITSM 或云，而是把公司本身——组织、责任、权限、工作和证据——做成所有 Agent 共用的控制平面。”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反对意见与证据回答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“Microsoft / Salesforce / ServiceNow 最后会把它做完，为什么需要独立产品？”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它们证明了需求，但各自天然优化自己的生态。A2A、MCP 与 NIST 的互操作方向说明企业环境会长期保持多供应商。独立层的价值是统一组织语义、权限、责任和证据，而不把公司事实锁进某个模型或 SaaS。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“这是不是又一个 Agent 平台？”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不是。Agent 平台负责构建或运行 Agent；Company OS 管理 Agent 为哪家公司、代表谁、能做什么、什么时候必须审批、产出什么证据、由谁负责。它可以连接多个 Agent 平台。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“AI 的 ROI 还不确定，为什么现在投入？”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正因为 ROI 不确定，企业才需要从零散试点转向组合管理：明确目标、预算、责任、运行状态、证据和停止条件。Stanford、IBM 和 Gartner 的数据都指向“扩展与治理”而不是“再做更多无边界试点”。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“Agent 还不够可靠。”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Company OS 不假设 Agent 永远正确。METR 的结果支持“能力快速进步、长任务可靠性仍有限”的双重判断；因此使用精确授权、人工检查点、可暂停运行和证据回收。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“会不会把公司 Secret 都集中到你们那里？”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Company OS 的设计是存引用和摘要，不在控制平面回传 Secret；企业可自持 Secret Broker 和执行节点。对外表达应说“支持这种部署和安全边界”，不要在没有客户安全评估时说“绝对不会泄露”。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完整链接库（按可信度与用途整理）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A. 市场采用、生产率与组织变化</w:t>
      </w:r>
    </w:p>
    <w:p>
      <w:pPr>
        <w:pStyle w:val="ListNumber"/>
        <w:widowControl/>
      </w:pPr>
      <w:hyperlink r:id="rId13">
        <w:r>
          <w:rPr>
            <w:rFonts w:ascii="Noto Sans CJK SC" w:hAnsi="Noto Sans CJK SC" w:eastAsia="Noto Sans CJK SC" w:cs="Noto Sans CJK SC"/>
            <w:color w:val="2366A8"/>
            <w:u w:val="single"/>
          </w:rPr>
          <w:t>Stanford AI Index 2025—Economy</w:t>
        </w:r>
      </w:hyperlink>
      <w:r>
        <w:rPr>
          <w:rFonts w:ascii="Noto Sans CJK SC" w:hAnsi="Noto Sans CJK SC" w:eastAsia="Noto Sans CJK SC" w:cs="Noto Sans CJK SC"/>
        </w:rPr>
        <w:t xml:space="preserve"> — 企业采用、投资和财务收益。</w:t>
      </w:r>
    </w:p>
    <w:p>
      <w:pPr>
        <w:pStyle w:val="ListNumber"/>
        <w:widowControl/>
      </w:pPr>
      <w:hyperlink r:id="rId43">
        <w:r>
          <w:rPr>
            <w:rFonts w:ascii="Noto Sans CJK SC" w:hAnsi="Noto Sans CJK SC" w:eastAsia="Noto Sans CJK SC" w:cs="Noto Sans CJK SC"/>
            <w:color w:val="2366A8"/>
            <w:u w:val="single"/>
          </w:rPr>
          <w:t>Stanford AI Index 2025 完整 PDF</w:t>
        </w:r>
      </w:hyperlink>
      <w:r>
        <w:rPr>
          <w:rFonts w:ascii="Noto Sans CJK SC" w:hAnsi="Noto Sans CJK SC" w:eastAsia="Noto Sans CJK SC" w:cs="Noto Sans CJK SC"/>
        </w:rPr>
        <w:t xml:space="preserve"> — 可截图做图表，引用时标注页码。</w:t>
      </w:r>
    </w:p>
    <w:p>
      <w:pPr>
        <w:pStyle w:val="ListNumber"/>
        <w:widowControl/>
      </w:pPr>
      <w:hyperlink r:id="rId12">
        <w:r>
          <w:rPr>
            <w:rFonts w:ascii="Noto Sans CJK SC" w:hAnsi="Noto Sans CJK SC" w:eastAsia="Noto Sans CJK SC" w:cs="Noto Sans CJK SC"/>
            <w:color w:val="2366A8"/>
            <w:u w:val="single"/>
          </w:rPr>
          <w:t>McKinsey State of AI 2025</w:t>
        </w:r>
      </w:hyperlink>
      <w:r>
        <w:rPr>
          <w:rFonts w:ascii="Noto Sans CJK SC" w:hAnsi="Noto Sans CJK SC" w:eastAsia="Noto Sans CJK SC" w:cs="Noto Sans CJK SC"/>
        </w:rPr>
        <w:t xml:space="preserve"> — Agent 规模化与试验比例。</w:t>
      </w:r>
    </w:p>
    <w:p>
      <w:pPr>
        <w:pStyle w:val="ListNumber"/>
        <w:widowControl/>
      </w:pPr>
      <w:hyperlink r:id="rId11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2025 Work Trend Index</w:t>
        </w:r>
      </w:hyperlink>
      <w:r>
        <w:rPr>
          <w:rFonts w:ascii="Noto Sans CJK SC" w:hAnsi="Noto Sans CJK SC" w:eastAsia="Noto Sans CJK SC" w:cs="Noto Sans CJK SC"/>
        </w:rPr>
        <w:t xml:space="preserve"> — 数字劳动力与“Agent boss”。</w:t>
      </w:r>
    </w:p>
    <w:p>
      <w:pPr>
        <w:pStyle w:val="ListNumber"/>
        <w:widowControl/>
      </w:pPr>
      <w:hyperlink r:id="rId44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Work Trend Index 方法说明</w:t>
        </w:r>
      </w:hyperlink>
      <w:r>
        <w:rPr>
          <w:rFonts w:ascii="Noto Sans CJK SC" w:hAnsi="Noto Sans CJK SC" w:eastAsia="Noto Sans CJK SC" w:cs="Noto Sans CJK SC"/>
        </w:rPr>
        <w:t xml:space="preserve"> — 31 个国家、31,000 名知识工作者及产品信号。</w:t>
      </w:r>
    </w:p>
    <w:p>
      <w:pPr>
        <w:pStyle w:val="ListNumber"/>
        <w:widowControl/>
      </w:pPr>
      <w:hyperlink r:id="rId45">
        <w:r>
          <w:rPr>
            <w:rFonts w:ascii="Noto Sans CJK SC" w:hAnsi="Noto Sans CJK SC" w:eastAsia="Noto Sans CJK SC" w:cs="Noto Sans CJK SC"/>
            <w:color w:val="2366A8"/>
            <w:u w:val="single"/>
          </w:rPr>
          <w:t>PwC 2025 Global AI Jobs Barometer</w:t>
        </w:r>
      </w:hyperlink>
      <w:r>
        <w:rPr>
          <w:rFonts w:ascii="Noto Sans CJK SC" w:hAnsi="Noto Sans CJK SC" w:eastAsia="Noto Sans CJK SC" w:cs="Noto Sans CJK SC"/>
        </w:rPr>
        <w:t xml:space="preserve"> — 生产率、工资溢价与招聘数据。</w:t>
      </w:r>
    </w:p>
    <w:p>
      <w:pPr>
        <w:pStyle w:val="ListNumber"/>
        <w:widowControl/>
      </w:pPr>
      <w:hyperlink r:id="rId46">
        <w:r>
          <w:rPr>
            <w:rFonts w:ascii="Noto Sans CJK SC" w:hAnsi="Noto Sans CJK SC" w:eastAsia="Noto Sans CJK SC" w:cs="Noto Sans CJK SC"/>
            <w:color w:val="2366A8"/>
            <w:u w:val="single"/>
          </w:rPr>
          <w:t>PwC 报告 PDF</w:t>
        </w:r>
      </w:hyperlink>
      <w:r>
        <w:rPr>
          <w:rFonts w:ascii="Noto Sans CJK SC" w:hAnsi="Noto Sans CJK SC" w:eastAsia="Noto Sans CJK SC" w:cs="Noto Sans CJK SC"/>
        </w:rPr>
        <w:t xml:space="preserve"> — 适合引用原图和方法。</w:t>
      </w:r>
    </w:p>
    <w:p>
      <w:pPr>
        <w:pStyle w:val="ListNumber"/>
        <w:widowControl/>
      </w:pPr>
      <w:hyperlink r:id="rId47">
        <w:r>
          <w:rPr>
            <w:rFonts w:ascii="Noto Sans CJK SC" w:hAnsi="Noto Sans CJK SC" w:eastAsia="Noto Sans CJK SC" w:cs="Noto Sans CJK SC"/>
            <w:color w:val="2366A8"/>
            <w:u w:val="single"/>
          </w:rPr>
          <w:t>WEF Future of Jobs 2025—Jobs outlook</w:t>
        </w:r>
      </w:hyperlink>
      <w:r>
        <w:rPr>
          <w:rFonts w:ascii="Noto Sans CJK SC" w:hAnsi="Noto Sans CJK SC" w:eastAsia="Noto Sans CJK SC" w:cs="Noto Sans CJK SC"/>
        </w:rPr>
        <w:t xml:space="preserve"> — 2030 年岗位结构变化。</w:t>
      </w:r>
    </w:p>
    <w:p>
      <w:pPr>
        <w:pStyle w:val="ListNumber"/>
        <w:widowControl/>
      </w:pPr>
      <w:hyperlink r:id="rId48">
        <w:r>
          <w:rPr>
            <w:rFonts w:ascii="Noto Sans CJK SC" w:hAnsi="Noto Sans CJK SC" w:eastAsia="Noto Sans CJK SC" w:cs="Noto Sans CJK SC"/>
            <w:color w:val="2366A8"/>
            <w:u w:val="single"/>
          </w:rPr>
          <w:t>WEF Future of Jobs 2025—Workforce strategies</w:t>
        </w:r>
      </w:hyperlink>
      <w:r>
        <w:rPr>
          <w:rFonts w:ascii="Noto Sans CJK SC" w:hAnsi="Noto Sans CJK SC" w:eastAsia="Noto Sans CJK SC" w:cs="Noto Sans CJK SC"/>
        </w:rPr>
        <w:t xml:space="preserve"> — 63% 将技能缺口视为转型障碍。</w:t>
      </w:r>
    </w:p>
    <w:p>
      <w:pPr>
        <w:pStyle w:val="ListNumber"/>
        <w:widowControl/>
      </w:pPr>
      <w:hyperlink r:id="rId14">
        <w:r>
          <w:rPr>
            <w:rFonts w:ascii="Noto Sans CJK SC" w:hAnsi="Noto Sans CJK SC" w:eastAsia="Noto Sans CJK SC" w:cs="Noto Sans CJK SC"/>
            <w:color w:val="2366A8"/>
            <w:u w:val="single"/>
          </w:rPr>
          <w:t>IBM From AI projects to profits</w:t>
        </w:r>
      </w:hyperlink>
      <w:r>
        <w:rPr>
          <w:rFonts w:ascii="Noto Sans CJK SC" w:hAnsi="Noto Sans CJK SC" w:eastAsia="Noto Sans CJK SC" w:cs="Noto Sans CJK SC"/>
        </w:rPr>
        <w:t xml:space="preserve"> — AI ROI 与从项目到利润的转变（厂商调查）。</w:t>
      </w:r>
    </w:p>
    <w:p>
      <w:pPr>
        <w:pStyle w:val="ListNumber"/>
        <w:widowControl/>
      </w:pPr>
      <w:hyperlink r:id="rId49">
        <w:r>
          <w:rPr>
            <w:rFonts w:ascii="Noto Sans CJK SC" w:hAnsi="Noto Sans CJK SC" w:eastAsia="Noto Sans CJK SC" w:cs="Noto Sans CJK SC"/>
            <w:color w:val="2366A8"/>
            <w:u w:val="single"/>
          </w:rPr>
          <w:t>IBM Chief AI Officers and AI ROI</w:t>
        </w:r>
      </w:hyperlink>
      <w:r>
        <w:rPr>
          <w:rFonts w:ascii="Noto Sans CJK SC" w:hAnsi="Noto Sans CJK SC" w:eastAsia="Noto Sans CJK SC" w:cs="Noto Sans CJK SC"/>
        </w:rPr>
        <w:t xml:space="preserve"> — CAIO、AI 组合管理与多模型现实（厂商调查）。</w:t>
      </w:r>
    </w:p>
    <w:p>
      <w:pPr>
        <w:pStyle w:val="ListNumber"/>
        <w:widowControl/>
      </w:pPr>
      <w:hyperlink r:id="rId50">
        <w:r>
          <w:rPr>
            <w:rFonts w:ascii="Noto Sans CJK SC" w:hAnsi="Noto Sans CJK SC" w:eastAsia="Noto Sans CJK SC" w:cs="Noto Sans CJK SC"/>
            <w:color w:val="2366A8"/>
            <w:u w:val="single"/>
          </w:rPr>
          <w:t>IBM 2025 CDO Study</w:t>
        </w:r>
      </w:hyperlink>
      <w:r>
        <w:rPr>
          <w:rFonts w:ascii="Noto Sans CJK SC" w:hAnsi="Noto Sans CJK SC" w:eastAsia="Noto Sans CJK SC" w:cs="Noto Sans CJK SC"/>
        </w:rPr>
        <w:t xml:space="preserve"> — 数据、Agent 治理和集中式运营模型（厂商调查）。</w:t>
      </w:r>
    </w:p>
    <w:p>
      <w:pPr>
        <w:pStyle w:val="ListNumber"/>
        <w:widowControl/>
      </w:pPr>
      <w:hyperlink r:id="rId15">
        <w:r>
          <w:rPr>
            <w:rFonts w:ascii="Noto Sans CJK SC" w:hAnsi="Noto Sans CJK SC" w:eastAsia="Noto Sans CJK SC" w:cs="Noto Sans CJK SC"/>
            <w:color w:val="2366A8"/>
            <w:u w:val="single"/>
          </w:rPr>
          <w:t>Gartner Agentic AI cancellation prediction</w:t>
        </w:r>
      </w:hyperlink>
      <w:r>
        <w:rPr>
          <w:rFonts w:ascii="Noto Sans CJK SC" w:hAnsi="Noto Sans CJK SC" w:eastAsia="Noto Sans CJK SC" w:cs="Noto Sans CJK SC"/>
        </w:rPr>
        <w:t xml:space="preserve"> — 项目取消预测及原因，必须标“预测”。</w:t>
      </w:r>
    </w:p>
    <w:p>
      <w:pPr>
        <w:pStyle w:val="ListNumber"/>
        <w:widowControl/>
      </w:pPr>
      <w:hyperlink r:id="rId51">
        <w:r>
          <w:rPr>
            <w:rFonts w:ascii="Noto Sans CJK SC" w:hAnsi="Noto Sans CJK SC" w:eastAsia="Noto Sans CJK SC" w:cs="Noto Sans CJK SC"/>
            <w:color w:val="2366A8"/>
            <w:u w:val="single"/>
          </w:rPr>
          <w:t>Deloitte State of Generative AI in the Enterprise</w:t>
        </w:r>
      </w:hyperlink>
      <w:r>
        <w:rPr>
          <w:rFonts w:ascii="Noto Sans CJK SC" w:hAnsi="Noto Sans CJK SC" w:eastAsia="Noto Sans CJK SC" w:cs="Noto Sans CJK SC"/>
        </w:rPr>
        <w:t xml:space="preserve"> — 风险、监管与数据障碍。</w:t>
      </w:r>
    </w:p>
    <w:p>
      <w:pPr>
        <w:pStyle w:val="ListNumber"/>
        <w:widowControl/>
      </w:pPr>
      <w:hyperlink r:id="rId52">
        <w:r>
          <w:rPr>
            <w:rFonts w:ascii="Noto Sans CJK SC" w:hAnsi="Noto Sans CJK SC" w:eastAsia="Noto Sans CJK SC" w:cs="Noto Sans CJK SC"/>
            <w:color w:val="2366A8"/>
            <w:u w:val="single"/>
          </w:rPr>
          <w:t>Deloitte Q3 detailed release</w:t>
        </w:r>
      </w:hyperlink>
      <w:r>
        <w:rPr>
          <w:rFonts w:ascii="Noto Sans CJK SC" w:hAnsi="Noto Sans CJK SC" w:eastAsia="Noto Sans CJK SC" w:cs="Noto Sans CJK SC"/>
        </w:rPr>
        <w:t xml:space="preserve"> — 2,770 名领导者、14 国样本。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B. Agent 治理和控制平面品类</w:t>
      </w:r>
    </w:p>
    <w:p>
      <w:pPr>
        <w:pStyle w:val="ListNumber"/>
        <w:widowControl/>
      </w:pPr>
      <w:hyperlink r:id="rId16">
        <w:r>
          <w:rPr>
            <w:rFonts w:ascii="Noto Sans CJK SC" w:hAnsi="Noto Sans CJK SC" w:eastAsia="Noto Sans CJK SC" w:cs="Noto Sans CJK SC"/>
            <w:color w:val="2366A8"/>
            <w:u w:val="single"/>
          </w:rPr>
          <w:t>ServiceNow AI Control Tower 产品页</w:t>
        </w:r>
      </w:hyperlink>
      <w:r>
        <w:rPr>
          <w:rFonts w:ascii="Noto Sans CJK SC" w:hAnsi="Noto Sans CJK SC" w:eastAsia="Noto Sans CJK SC" w:cs="Noto Sans CJK SC"/>
        </w:rPr>
        <w:t xml:space="preserve"> — Agent、模型、MCP Server 资产和治理。</w:t>
      </w:r>
    </w:p>
    <w:p>
      <w:pPr>
        <w:pStyle w:val="ListNumber"/>
        <w:widowControl/>
      </w:pPr>
      <w:hyperlink r:id="rId53">
        <w:r>
          <w:rPr>
            <w:rFonts w:ascii="Noto Sans CJK SC" w:hAnsi="Noto Sans CJK SC" w:eastAsia="Noto Sans CJK SC" w:cs="Noto Sans CJK SC"/>
            <w:color w:val="2366A8"/>
            <w:u w:val="single"/>
          </w:rPr>
          <w:t>ServiceNow AI Control Tower 发布公告</w:t>
        </w:r>
      </w:hyperlink>
      <w:r>
        <w:rPr>
          <w:rFonts w:ascii="Noto Sans CJK SC" w:hAnsi="Noto Sans CJK SC" w:eastAsia="Noto Sans CJK SC" w:cs="Noto Sans CJK SC"/>
        </w:rPr>
        <w:t xml:space="preserve"> — “任何 Agent、模型与工作流”的控制中心。</w:t>
      </w:r>
    </w:p>
    <w:p>
      <w:pPr>
        <w:pStyle w:val="ListNumber"/>
        <w:widowControl/>
      </w:pPr>
      <w:hyperlink r:id="rId17">
        <w:r>
          <w:rPr>
            <w:rFonts w:ascii="Noto Sans CJK SC" w:hAnsi="Noto Sans CJK SC" w:eastAsia="Noto Sans CJK SC" w:cs="Noto Sans CJK SC"/>
            <w:color w:val="2366A8"/>
            <w:u w:val="single"/>
          </w:rPr>
          <w:t>Salesforce Agentforce 3 Command Center</w:t>
        </w:r>
      </w:hyperlink>
      <w:r>
        <w:rPr>
          <w:rFonts w:ascii="Noto Sans CJK SC" w:hAnsi="Noto Sans CJK SC" w:eastAsia="Noto Sans CJK SC" w:cs="Noto Sans CJK SC"/>
        </w:rPr>
        <w:t xml:space="preserve"> — 可见性、控制、可观测性与 MCP。</w:t>
      </w:r>
    </w:p>
    <w:p>
      <w:pPr>
        <w:pStyle w:val="ListNumber"/>
        <w:widowControl/>
      </w:pPr>
      <w:hyperlink r:id="rId18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Copilot Control System</w:t>
        </w:r>
      </w:hyperlink>
      <w:r>
        <w:rPr>
          <w:rFonts w:ascii="Noto Sans CJK SC" w:hAnsi="Noto Sans CJK SC" w:eastAsia="Noto Sans CJK SC" w:cs="Noto Sans CJK SC"/>
        </w:rPr>
        <w:t xml:space="preserve"> — 安全、管理和度量。</w:t>
      </w:r>
    </w:p>
    <w:p>
      <w:pPr>
        <w:pStyle w:val="ListNumber"/>
        <w:widowControl/>
      </w:pPr>
      <w:hyperlink r:id="rId54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Copilot Control System announcement</w:t>
        </w:r>
      </w:hyperlink>
      <w:r>
        <w:rPr>
          <w:rFonts w:ascii="Noto Sans CJK SC" w:hAnsi="Noto Sans CJK SC" w:eastAsia="Noto Sans CJK SC" w:cs="Noto Sans CJK SC"/>
        </w:rPr>
        <w:t xml:space="preserve"> — 产品方向与企业控制。</w:t>
      </w:r>
    </w:p>
    <w:p>
      <w:pPr>
        <w:pStyle w:val="ListNumber"/>
        <w:widowControl/>
      </w:pPr>
      <w:hyperlink r:id="rId19">
        <w:r>
          <w:rPr>
            <w:rFonts w:ascii="Noto Sans CJK SC" w:hAnsi="Noto Sans CJK SC" w:eastAsia="Noto Sans CJK SC" w:cs="Noto Sans CJK SC"/>
            <w:color w:val="2366A8"/>
            <w:u w:val="single"/>
          </w:rPr>
          <w:t>IBM watsonx.governance</w:t>
        </w:r>
      </w:hyperlink>
      <w:r>
        <w:rPr>
          <w:rFonts w:ascii="Noto Sans CJK SC" w:hAnsi="Noto Sans CJK SC" w:eastAsia="Noto Sans CJK SC" w:cs="Noto Sans CJK SC"/>
        </w:rPr>
        <w:t xml:space="preserve"> — 混合、多模型、多供应商治理。</w:t>
      </w:r>
    </w:p>
    <w:p>
      <w:pPr>
        <w:pStyle w:val="ListNumber"/>
        <w:widowControl/>
      </w:pPr>
      <w:hyperlink r:id="rId20">
        <w:r>
          <w:rPr>
            <w:rFonts w:ascii="Noto Sans CJK SC" w:hAnsi="Noto Sans CJK SC" w:eastAsia="Noto Sans CJK SC" w:cs="Noto Sans CJK SC"/>
            <w:color w:val="2366A8"/>
            <w:u w:val="single"/>
          </w:rPr>
          <w:t>OpenAI Frontier</w:t>
        </w:r>
      </w:hyperlink>
      <w:r>
        <w:rPr>
          <w:rFonts w:ascii="Noto Sans CJK SC" w:hAnsi="Noto Sans CJK SC" w:eastAsia="Noto Sans CJK SC" w:cs="Noto Sans CJK SC"/>
        </w:rPr>
        <w:t xml:space="preserve"> — 企业 AI coworker 运行、权限与评估。</w:t>
      </w:r>
    </w:p>
    <w:p>
      <w:pPr>
        <w:pStyle w:val="ListNumber"/>
        <w:widowControl/>
      </w:pPr>
      <w:hyperlink r:id="rId55">
        <w:r>
          <w:rPr>
            <w:rFonts w:ascii="Noto Sans CJK SC" w:hAnsi="Noto Sans CJK SC" w:eastAsia="Noto Sans CJK SC" w:cs="Noto Sans CJK SC"/>
            <w:color w:val="2366A8"/>
            <w:u w:val="single"/>
          </w:rPr>
          <w:t>OpenAI Workspace Agents</w:t>
        </w:r>
      </w:hyperlink>
      <w:r>
        <w:rPr>
          <w:rFonts w:ascii="Noto Sans CJK SC" w:hAnsi="Noto Sans CJK SC" w:eastAsia="Noto Sans CJK SC" w:cs="Noto Sans CJK SC"/>
        </w:rPr>
        <w:t xml:space="preserve"> — 集中管理、RBAC、审计和审批门槛。</w:t>
      </w:r>
    </w:p>
    <w:p>
      <w:pPr>
        <w:pStyle w:val="ListNumber"/>
        <w:widowControl/>
      </w:pPr>
      <w:hyperlink r:id="rId56">
        <w:r>
          <w:rPr>
            <w:rFonts w:ascii="Noto Sans CJK SC" w:hAnsi="Noto Sans CJK SC" w:eastAsia="Noto Sans CJK SC" w:cs="Noto Sans CJK SC"/>
            <w:color w:val="2366A8"/>
            <w:u w:val="single"/>
          </w:rPr>
          <w:t>OpenAI Workspace Agents Help</w:t>
        </w:r>
      </w:hyperlink>
      <w:r>
        <w:rPr>
          <w:rFonts w:ascii="Noto Sans CJK SC" w:hAnsi="Noto Sans CJK SC" w:eastAsia="Noto Sans CJK SC" w:cs="Noto Sans CJK SC"/>
        </w:rPr>
        <w:t xml:space="preserve"> — 最小权限、写操作审批与 Connector 约束。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C. 身份、权限与互操作标准</w:t>
      </w:r>
    </w:p>
    <w:p>
      <w:pPr>
        <w:pStyle w:val="ListNumber"/>
        <w:widowControl/>
      </w:pPr>
      <w:hyperlink r:id="rId23">
        <w:r>
          <w:rPr>
            <w:rFonts w:ascii="Noto Sans CJK SC" w:hAnsi="Noto Sans CJK SC" w:eastAsia="Noto Sans CJK SC" w:cs="Noto Sans CJK SC"/>
            <w:color w:val="2366A8"/>
            <w:u w:val="single"/>
          </w:rPr>
          <w:t>NIST AI Agent Standards Initiative</w:t>
        </w:r>
      </w:hyperlink>
      <w:r>
        <w:rPr>
          <w:rFonts w:ascii="Noto Sans CJK SC" w:hAnsi="Noto Sans CJK SC" w:eastAsia="Noto Sans CJK SC" w:cs="Noto Sans CJK SC"/>
        </w:rPr>
        <w:t xml:space="preserve"> — 可信、互操作、安全的 Agent 生态；身份与授权研究。</w:t>
      </w:r>
    </w:p>
    <w:p>
      <w:pPr>
        <w:pStyle w:val="ListNumber"/>
        <w:widowControl/>
      </w:pPr>
      <w:hyperlink r:id="rId24">
        <w:r>
          <w:rPr>
            <w:rFonts w:ascii="Noto Sans CJK SC" w:hAnsi="Noto Sans CJK SC" w:eastAsia="Noto Sans CJK SC" w:cs="Noto Sans CJK SC"/>
            <w:color w:val="2366A8"/>
            <w:u w:val="single"/>
          </w:rPr>
          <w:t>NIST Zero Trust Architecture</w:t>
        </w:r>
      </w:hyperlink>
      <w:r>
        <w:rPr>
          <w:rFonts w:ascii="Noto Sans CJK SC" w:hAnsi="Noto Sans CJK SC" w:eastAsia="Noto Sans CJK SC" w:cs="Noto Sans CJK SC"/>
        </w:rPr>
        <w:t xml:space="preserve"> — 不做隐式信任、持续认证授权。</w:t>
      </w:r>
    </w:p>
    <w:p>
      <w:pPr>
        <w:pStyle w:val="ListNumber"/>
        <w:widowControl/>
      </w:pPr>
      <w:hyperlink r:id="rId57">
        <w:r>
          <w:rPr>
            <w:rFonts w:ascii="Noto Sans CJK SC" w:hAnsi="Noto Sans CJK SC" w:eastAsia="Noto Sans CJK SC" w:cs="Noto Sans CJK SC"/>
            <w:color w:val="2366A8"/>
            <w:u w:val="single"/>
          </w:rPr>
          <w:t>NIST SP 800-207A</w:t>
        </w:r>
      </w:hyperlink>
      <w:r>
        <w:rPr>
          <w:rFonts w:ascii="Noto Sans CJK SC" w:hAnsi="Noto Sans CJK SC" w:eastAsia="Noto Sans CJK SC" w:cs="Noto Sans CJK SC"/>
        </w:rPr>
        <w:t xml:space="preserve"> — 云原生多云环境的身份型访问控制。</w:t>
      </w:r>
    </w:p>
    <w:p>
      <w:pPr>
        <w:pStyle w:val="ListNumber"/>
        <w:widowControl/>
      </w:pPr>
      <w:hyperlink r:id="rId58">
        <w:r>
          <w:rPr>
            <w:rFonts w:ascii="Noto Sans CJK SC" w:hAnsi="Noto Sans CJK SC" w:eastAsia="Noto Sans CJK SC" w:cs="Noto Sans CJK SC"/>
            <w:color w:val="2366A8"/>
            <w:u w:val="single"/>
          </w:rPr>
          <w:t>NIST Zero Trust Implementation Guide</w:t>
        </w:r>
      </w:hyperlink>
      <w:r>
        <w:rPr>
          <w:rFonts w:ascii="Noto Sans CJK SC" w:hAnsi="Noto Sans CJK SC" w:eastAsia="Noto Sans CJK SC" w:cs="Noto Sans CJK SC"/>
        </w:rPr>
        <w:t xml:space="preserve"> — 19 个参考实现。</w:t>
      </w:r>
    </w:p>
    <w:p>
      <w:pPr>
        <w:pStyle w:val="ListNumber"/>
        <w:widowControl/>
      </w:pPr>
      <w:hyperlink r:id="rId25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Entra Agent ID</w:t>
        </w:r>
      </w:hyperlink>
      <w:r>
        <w:rPr>
          <w:rFonts w:ascii="Noto Sans CJK SC" w:hAnsi="Noto Sans CJK SC" w:eastAsia="Noto Sans CJK SC" w:cs="Noto Sans CJK SC"/>
        </w:rPr>
        <w:t xml:space="preserve"> — Agent 作为一等身份主体。</w:t>
      </w:r>
    </w:p>
    <w:p>
      <w:pPr>
        <w:pStyle w:val="ListNumber"/>
        <w:widowControl/>
      </w:pPr>
      <w:hyperlink r:id="rId59">
        <w:r>
          <w:rPr>
            <w:rFonts w:ascii="Noto Sans CJK SC" w:hAnsi="Noto Sans CJK SC" w:eastAsia="Noto Sans CJK SC" w:cs="Noto Sans CJK SC"/>
            <w:color w:val="2366A8"/>
            <w:u w:val="single"/>
          </w:rPr>
          <w:t>Microsoft Entra Agent ID Governance</w:t>
        </w:r>
      </w:hyperlink>
      <w:r>
        <w:rPr>
          <w:rFonts w:ascii="Noto Sans CJK SC" w:hAnsi="Noto Sans CJK SC" w:eastAsia="Noto Sans CJK SC" w:cs="Noto Sans CJK SC"/>
        </w:rPr>
        <w:t xml:space="preserve"> — Agent 身份生命周期与访问治理。</w:t>
      </w:r>
    </w:p>
    <w:p>
      <w:pPr>
        <w:pStyle w:val="ListNumber"/>
        <w:widowControl/>
      </w:pPr>
      <w:hyperlink r:id="rId21">
        <w:r>
          <w:rPr>
            <w:rFonts w:ascii="Noto Sans CJK SC" w:hAnsi="Noto Sans CJK SC" w:eastAsia="Noto Sans CJK SC" w:cs="Noto Sans CJK SC"/>
            <w:color w:val="2366A8"/>
            <w:u w:val="single"/>
          </w:rPr>
          <w:t>Google Agent2Agent Protocol</w:t>
        </w:r>
      </w:hyperlink>
      <w:r>
        <w:rPr>
          <w:rFonts w:ascii="Noto Sans CJK SC" w:hAnsi="Noto Sans CJK SC" w:eastAsia="Noto Sans CJK SC" w:cs="Noto Sans CJK SC"/>
        </w:rPr>
        <w:t xml:space="preserve"> — 跨 Agent、跨供应商互操作。</w:t>
      </w:r>
    </w:p>
    <w:p>
      <w:pPr>
        <w:pStyle w:val="ListNumber"/>
        <w:widowControl/>
      </w:pPr>
      <w:hyperlink r:id="rId60">
        <w:r>
          <w:rPr>
            <w:rFonts w:ascii="Noto Sans CJK SC" w:hAnsi="Noto Sans CJK SC" w:eastAsia="Noto Sans CJK SC" w:cs="Noto Sans CJK SC"/>
            <w:color w:val="2366A8"/>
            <w:u w:val="single"/>
          </w:rPr>
          <w:t>Google A2A v0.3 update</w:t>
        </w:r>
      </w:hyperlink>
      <w:r>
        <w:rPr>
          <w:rFonts w:ascii="Noto Sans CJK SC" w:hAnsi="Noto Sans CJK SC" w:eastAsia="Noto Sans CJK SC" w:cs="Noto Sans CJK SC"/>
        </w:rPr>
        <w:t xml:space="preserve"> — 生态扩展和协议演进。</w:t>
      </w:r>
    </w:p>
    <w:p>
      <w:pPr>
        <w:pStyle w:val="ListNumber"/>
        <w:widowControl/>
      </w:pPr>
      <w:hyperlink r:id="rId22">
        <w:r>
          <w:rPr>
            <w:rFonts w:ascii="Noto Sans CJK SC" w:hAnsi="Noto Sans CJK SC" w:eastAsia="Noto Sans CJK SC" w:cs="Noto Sans CJK SC"/>
            <w:color w:val="2366A8"/>
            <w:u w:val="single"/>
          </w:rPr>
          <w:t>Anthropic Model Context Protocol</w:t>
        </w:r>
      </w:hyperlink>
      <w:r>
        <w:rPr>
          <w:rFonts w:ascii="Noto Sans CJK SC" w:hAnsi="Noto Sans CJK SC" w:eastAsia="Noto Sans CJK SC" w:cs="Noto Sans CJK SC"/>
        </w:rPr>
        <w:t xml:space="preserve"> — 工具与数据连接的开放标准。</w:t>
      </w:r>
    </w:p>
    <w:p>
      <w:pPr>
        <w:pStyle w:val="ListNumber"/>
        <w:widowControl/>
      </w:pPr>
      <w:hyperlink r:id="rId26">
        <w:r>
          <w:rPr>
            <w:rFonts w:ascii="Noto Sans CJK SC" w:hAnsi="Noto Sans CJK SC" w:eastAsia="Noto Sans CJK SC" w:cs="Noto Sans CJK SC"/>
            <w:color w:val="2366A8"/>
            <w:u w:val="single"/>
          </w:rPr>
          <w:t>MCP Authorization Specification</w:t>
        </w:r>
      </w:hyperlink>
      <w:r>
        <w:rPr>
          <w:rFonts w:ascii="Noto Sans CJK SC" w:hAnsi="Noto Sans CJK SC" w:eastAsia="Noto Sans CJK SC" w:cs="Noto Sans CJK SC"/>
        </w:rPr>
        <w:t xml:space="preserve"> — OAuth 2.1、audience 验证与禁止 token passthrough。</w:t>
      </w:r>
    </w:p>
    <w:p>
      <w:pPr>
        <w:pStyle w:val="ListNumber"/>
        <w:widowControl/>
      </w:pPr>
      <w:hyperlink r:id="rId61">
        <w:r>
          <w:rPr>
            <w:rFonts w:ascii="Noto Sans CJK SC" w:hAnsi="Noto Sans CJK SC" w:eastAsia="Noto Sans CJK SC" w:cs="Noto Sans CJK SC"/>
            <w:color w:val="2366A8"/>
            <w:u w:val="single"/>
          </w:rPr>
          <w:t>MCP Base Specification</w:t>
        </w:r>
      </w:hyperlink>
      <w:r>
        <w:rPr>
          <w:rFonts w:ascii="Noto Sans CJK SC" w:hAnsi="Noto Sans CJK SC" w:eastAsia="Noto Sans CJK SC" w:cs="Noto Sans CJK SC"/>
        </w:rPr>
        <w:t xml:space="preserve"> — consent、authorization 与安全责任。</w:t>
      </w:r>
    </w:p>
    <w:p>
      <w:pPr>
        <w:pStyle w:val="ListNumber"/>
        <w:widowControl/>
      </w:pPr>
      <w:hyperlink r:id="rId62">
        <w:r>
          <w:rPr>
            <w:rFonts w:ascii="Noto Sans CJK SC" w:hAnsi="Noto Sans CJK SC" w:eastAsia="Noto Sans CJK SC" w:cs="Noto Sans CJK SC"/>
            <w:color w:val="2366A8"/>
            <w:u w:val="single"/>
          </w:rPr>
          <w:t>ISO/IEC 42001</w:t>
        </w:r>
      </w:hyperlink>
      <w:r>
        <w:rPr>
          <w:rFonts w:ascii="Noto Sans CJK SC" w:hAnsi="Noto Sans CJK SC" w:eastAsia="Noto Sans CJK SC" w:cs="Noto Sans CJK SC"/>
        </w:rPr>
        <w:t xml:space="preserve"> — AI 管理体系标准。</w:t>
      </w:r>
    </w:p>
    <w:p>
      <w:pPr>
        <w:pStyle w:val="ListNumber"/>
        <w:widowControl/>
      </w:pPr>
      <w:hyperlink r:id="rId63">
        <w:r>
          <w:rPr>
            <w:rFonts w:ascii="Noto Sans CJK SC" w:hAnsi="Noto Sans CJK SC" w:eastAsia="Noto Sans CJK SC" w:cs="Noto Sans CJK SC"/>
            <w:color w:val="2366A8"/>
            <w:u w:val="single"/>
          </w:rPr>
          <w:t>ISO AI Management Systems overview</w:t>
        </w:r>
      </w:hyperlink>
      <w:r>
        <w:rPr>
          <w:rFonts w:ascii="Noto Sans CJK SC" w:hAnsi="Noto Sans CJK SC" w:eastAsia="Noto Sans CJK SC" w:cs="Noto Sans CJK SC"/>
        </w:rPr>
        <w:t xml:space="preserve"> — 风险、透明度、可追溯与持续改进。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D. 安全、可靠性与 Shadow AI</w:t>
      </w:r>
    </w:p>
    <w:p>
      <w:pPr>
        <w:pStyle w:val="ListNumber"/>
        <w:widowControl/>
      </w:pPr>
      <w:hyperlink r:id="rId64">
        <w:r>
          <w:rPr>
            <w:rFonts w:ascii="Noto Sans CJK SC" w:hAnsi="Noto Sans CJK SC" w:eastAsia="Noto Sans CJK SC" w:cs="Noto Sans CJK SC"/>
            <w:color w:val="2366A8"/>
            <w:u w:val="single"/>
          </w:rPr>
          <w:t>Stanford AI Index 2025—Responsible AI</w:t>
        </w:r>
      </w:hyperlink>
      <w:r>
        <w:rPr>
          <w:rFonts w:ascii="Noto Sans CJK SC" w:hAnsi="Noto Sans CJK SC" w:eastAsia="Noto Sans CJK SC" w:cs="Noto Sans CJK SC"/>
        </w:rPr>
        <w:t xml:space="preserve"> — AI 事故与评估采用。</w:t>
      </w:r>
    </w:p>
    <w:p>
      <w:pPr>
        <w:pStyle w:val="ListNumber"/>
        <w:widowControl/>
      </w:pPr>
      <w:hyperlink r:id="rId29">
        <w:r>
          <w:rPr>
            <w:rFonts w:ascii="Noto Sans CJK SC" w:hAnsi="Noto Sans CJK SC" w:eastAsia="Noto Sans CJK SC" w:cs="Noto Sans CJK SC"/>
            <w:color w:val="2366A8"/>
            <w:u w:val="single"/>
          </w:rPr>
          <w:t>NIST AI RMF GenAI Profile</w:t>
        </w:r>
      </w:hyperlink>
      <w:r>
        <w:rPr>
          <w:rFonts w:ascii="Noto Sans CJK SC" w:hAnsi="Noto Sans CJK SC" w:eastAsia="Noto Sans CJK SC" w:cs="Noto Sans CJK SC"/>
        </w:rPr>
        <w:t xml:space="preserve"> — 全生命周期生成式 AI 风险管理。</w:t>
      </w:r>
    </w:p>
    <w:p>
      <w:pPr>
        <w:pStyle w:val="ListNumber"/>
        <w:widowControl/>
      </w:pPr>
      <w:hyperlink r:id="rId65">
        <w:r>
          <w:rPr>
            <w:rFonts w:ascii="Noto Sans CJK SC" w:hAnsi="Noto Sans CJK SC" w:eastAsia="Noto Sans CJK SC" w:cs="Noto Sans CJK SC"/>
            <w:color w:val="2366A8"/>
            <w:u w:val="single"/>
          </w:rPr>
          <w:t>NIST AI RMF GenAI Profile PDF</w:t>
        </w:r>
      </w:hyperlink>
      <w:r>
        <w:rPr>
          <w:rFonts w:ascii="Noto Sans CJK SC" w:hAnsi="Noto Sans CJK SC" w:eastAsia="Noto Sans CJK SC" w:cs="Noto Sans CJK SC"/>
        </w:rPr>
        <w:t xml:space="preserve"> — 原始规范。</w:t>
      </w:r>
    </w:p>
    <w:p>
      <w:pPr>
        <w:pStyle w:val="ListNumber"/>
        <w:widowControl/>
      </w:pPr>
      <w:hyperlink r:id="rId66">
        <w:r>
          <w:rPr>
            <w:rFonts w:ascii="Noto Sans CJK SC" w:hAnsi="Noto Sans CJK SC" w:eastAsia="Noto Sans CJK SC" w:cs="Noto Sans CJK SC"/>
            <w:color w:val="2366A8"/>
            <w:u w:val="single"/>
          </w:rPr>
          <w:t>MITRE ATLAS</w:t>
        </w:r>
      </w:hyperlink>
      <w:r>
        <w:rPr>
          <w:rFonts w:ascii="Noto Sans CJK SC" w:hAnsi="Noto Sans CJK SC" w:eastAsia="Noto Sans CJK SC" w:cs="Noto Sans CJK SC"/>
        </w:rPr>
        <w:t xml:space="preserve"> — AI 对抗战术、技术、缓解措施与案例。</w:t>
      </w:r>
    </w:p>
    <w:p>
      <w:pPr>
        <w:pStyle w:val="ListNumber"/>
        <w:widowControl/>
      </w:pPr>
      <w:hyperlink r:id="rId67">
        <w:r>
          <w:rPr>
            <w:rFonts w:ascii="Noto Sans CJK SC" w:hAnsi="Noto Sans CJK SC" w:eastAsia="Noto Sans CJK SC" w:cs="Noto Sans CJK SC"/>
            <w:color w:val="2366A8"/>
            <w:u w:val="single"/>
          </w:rPr>
          <w:t>OWASP Top 10 for Agentic Applications</w:t>
        </w:r>
      </w:hyperlink>
      <w:r>
        <w:rPr>
          <w:rFonts w:ascii="Noto Sans CJK SC" w:hAnsi="Noto Sans CJK SC" w:eastAsia="Noto Sans CJK SC" w:cs="Noto Sans CJK SC"/>
        </w:rPr>
        <w:t xml:space="preserve"> — 目标劫持、工具滥用、身份权限、记忆污染等。</w:t>
      </w:r>
    </w:p>
    <w:p>
      <w:pPr>
        <w:pStyle w:val="ListNumber"/>
        <w:widowControl/>
      </w:pPr>
      <w:hyperlink r:id="rId30">
        <w:r>
          <w:rPr>
            <w:rFonts w:ascii="Noto Sans CJK SC" w:hAnsi="Noto Sans CJK SC" w:eastAsia="Noto Sans CJK SC" w:cs="Noto Sans CJK SC"/>
            <w:color w:val="2366A8"/>
            <w:u w:val="single"/>
          </w:rPr>
          <w:t>NCSC Guidelines for Secure AI System Development</w:t>
        </w:r>
      </w:hyperlink>
      <w:r>
        <w:rPr>
          <w:rFonts w:ascii="Noto Sans CJK SC" w:hAnsi="Noto Sans CJK SC" w:eastAsia="Noto Sans CJK SC" w:cs="Noto Sans CJK SC"/>
        </w:rPr>
        <w:t xml:space="preserve"> — 国际联合安全开发指南。</w:t>
      </w:r>
    </w:p>
    <w:p>
      <w:pPr>
        <w:pStyle w:val="ListNumber"/>
        <w:widowControl/>
      </w:pPr>
      <w:hyperlink r:id="rId68">
        <w:r>
          <w:rPr>
            <w:rFonts w:ascii="Noto Sans CJK SC" w:hAnsi="Noto Sans CJK SC" w:eastAsia="Noto Sans CJK SC" w:cs="Noto Sans CJK SC"/>
            <w:color w:val="2366A8"/>
            <w:u w:val="single"/>
          </w:rPr>
          <w:t>NCSC 指南 PDF</w:t>
        </w:r>
      </w:hyperlink>
      <w:r>
        <w:rPr>
          <w:rFonts w:ascii="Noto Sans CJK SC" w:hAnsi="Noto Sans CJK SC" w:eastAsia="Noto Sans CJK SC" w:cs="Noto Sans CJK SC"/>
        </w:rPr>
        <w:t xml:space="preserve"> — 可下载原文。</w:t>
      </w:r>
    </w:p>
    <w:p>
      <w:pPr>
        <w:pStyle w:val="ListNumber"/>
        <w:widowControl/>
      </w:pPr>
      <w:hyperlink r:id="rId31">
        <w:r>
          <w:rPr>
            <w:rFonts w:ascii="Noto Sans CJK SC" w:hAnsi="Noto Sans CJK SC" w:eastAsia="Noto Sans CJK SC" w:cs="Noto Sans CJK SC"/>
            <w:color w:val="2366A8"/>
            <w:u w:val="single"/>
          </w:rPr>
          <w:t>IBM Cost of a Data Breach 2025</w:t>
        </w:r>
      </w:hyperlink>
      <w:r>
        <w:rPr>
          <w:rFonts w:ascii="Noto Sans CJK SC" w:hAnsi="Noto Sans CJK SC" w:eastAsia="Noto Sans CJK SC" w:cs="Noto Sans CJK SC"/>
        </w:rPr>
        <w:t xml:space="preserve"> — AI 治理、Shadow AI 和泄露成本（厂商研究）。</w:t>
      </w:r>
    </w:p>
    <w:p>
      <w:pPr>
        <w:pStyle w:val="ListNumber"/>
        <w:widowControl/>
      </w:pPr>
      <w:hyperlink r:id="rId69">
        <w:r>
          <w:rPr>
            <w:rFonts w:ascii="Noto Sans CJK SC" w:hAnsi="Noto Sans CJK SC" w:eastAsia="Noto Sans CJK SC" w:cs="Noto Sans CJK SC"/>
            <w:color w:val="2366A8"/>
            <w:u w:val="single"/>
          </w:rPr>
          <w:t>IBM AI breach press release</w:t>
        </w:r>
      </w:hyperlink>
      <w:r>
        <w:rPr>
          <w:rFonts w:ascii="Noto Sans CJK SC" w:hAnsi="Noto Sans CJK SC" w:eastAsia="Noto Sans CJK SC" w:cs="Noto Sans CJK SC"/>
        </w:rPr>
        <w:t xml:space="preserve"> — AI 访问控制缺口。</w:t>
      </w:r>
    </w:p>
    <w:p>
      <w:pPr>
        <w:pStyle w:val="ListNumber"/>
        <w:widowControl/>
      </w:pPr>
      <w:hyperlink r:id="rId33">
        <w:r>
          <w:rPr>
            <w:rFonts w:ascii="Noto Sans CJK SC" w:hAnsi="Noto Sans CJK SC" w:eastAsia="Noto Sans CJK SC" w:cs="Noto Sans CJK SC"/>
            <w:color w:val="2366A8"/>
            <w:u w:val="single"/>
          </w:rPr>
          <w:t>Netskope Shadow AI and Agentic AI 2025</w:t>
        </w:r>
      </w:hyperlink>
      <w:r>
        <w:rPr>
          <w:rFonts w:ascii="Noto Sans CJK SC" w:hAnsi="Noto Sans CJK SC" w:eastAsia="Noto Sans CJK SC" w:cs="Noto Sans CJK SC"/>
        </w:rPr>
        <w:t xml:space="preserve"> — 未管理应用和数据流遥测。</w:t>
      </w:r>
    </w:p>
    <w:p>
      <w:pPr>
        <w:pStyle w:val="ListNumber"/>
        <w:widowControl/>
      </w:pPr>
      <w:hyperlink r:id="rId70">
        <w:r>
          <w:rPr>
            <w:rFonts w:ascii="Noto Sans CJK SC" w:hAnsi="Noto Sans CJK SC" w:eastAsia="Noto Sans CJK SC" w:cs="Noto Sans CJK SC"/>
            <w:color w:val="2366A8"/>
            <w:u w:val="single"/>
          </w:rPr>
          <w:t>Netskope Generative AI 2025</w:t>
        </w:r>
      </w:hyperlink>
      <w:r>
        <w:rPr>
          <w:rFonts w:ascii="Noto Sans CJK SC" w:hAnsi="Noto Sans CJK SC" w:eastAsia="Noto Sans CJK SC" w:cs="Noto Sans CJK SC"/>
        </w:rPr>
        <w:t xml:space="preserve"> — GenAI 使用与 Shadow AI 比例。</w:t>
      </w:r>
    </w:p>
    <w:p>
      <w:pPr>
        <w:pStyle w:val="ListNumber"/>
        <w:widowControl/>
      </w:pPr>
      <w:hyperlink r:id="rId32">
        <w:r>
          <w:rPr>
            <w:rFonts w:ascii="Noto Sans CJK SC" w:hAnsi="Noto Sans CJK SC" w:eastAsia="Noto Sans CJK SC" w:cs="Noto Sans CJK SC"/>
            <w:color w:val="2366A8"/>
            <w:u w:val="single"/>
          </w:rPr>
          <w:t>Cisco Data Privacy Benchmark 2025</w:t>
        </w:r>
      </w:hyperlink>
      <w:r>
        <w:rPr>
          <w:rFonts w:ascii="Noto Sans CJK SC" w:hAnsi="Noto Sans CJK SC" w:eastAsia="Noto Sans CJK SC" w:cs="Noto Sans CJK SC"/>
        </w:rPr>
        <w:t xml:space="preserve"> — 2,600 名隐私/安全专业人士调查。</w:t>
      </w:r>
    </w:p>
    <w:p>
      <w:pPr>
        <w:pStyle w:val="ListNumber"/>
        <w:widowControl/>
      </w:pPr>
      <w:hyperlink r:id="rId71">
        <w:r>
          <w:rPr>
            <w:rFonts w:ascii="Noto Sans CJK SC" w:hAnsi="Noto Sans CJK SC" w:eastAsia="Noto Sans CJK SC" w:cs="Noto Sans CJK SC"/>
            <w:color w:val="2366A8"/>
            <w:u w:val="single"/>
          </w:rPr>
          <w:t>Cisco 报告 PDF</w:t>
        </w:r>
      </w:hyperlink>
      <w:r>
        <w:rPr>
          <w:rFonts w:ascii="Noto Sans CJK SC" w:hAnsi="Noto Sans CJK SC" w:eastAsia="Noto Sans CJK SC" w:cs="Noto Sans CJK SC"/>
        </w:rPr>
        <w:t xml:space="preserve"> — 原始报告。</w:t>
      </w:r>
    </w:p>
    <w:p>
      <w:pPr>
        <w:pStyle w:val="ListNumber"/>
        <w:widowControl/>
      </w:pPr>
      <w:hyperlink r:id="rId72">
        <w:r>
          <w:rPr>
            <w:rFonts w:ascii="Noto Sans CJK SC" w:hAnsi="Noto Sans CJK SC" w:eastAsia="Noto Sans CJK SC" w:cs="Noto Sans CJK SC"/>
            <w:color w:val="2366A8"/>
            <w:u w:val="single"/>
          </w:rPr>
          <w:t>Cyberhaven 2025 AI Adoption &amp; Risk</w:t>
        </w:r>
      </w:hyperlink>
      <w:r>
        <w:rPr>
          <w:rFonts w:ascii="Noto Sans CJK SC" w:hAnsi="Noto Sans CJK SC" w:eastAsia="Noto Sans CJK SC" w:cs="Noto Sans CJK SC"/>
        </w:rPr>
        <w:t xml:space="preserve"> — 企业工作流中的敏感数据流（厂商遥测）。</w:t>
      </w:r>
    </w:p>
    <w:p>
      <w:pPr>
        <w:pStyle w:val="ListNumber"/>
        <w:widowControl/>
      </w:pPr>
      <w:hyperlink r:id="rId34">
        <w:r>
          <w:rPr>
            <w:rFonts w:ascii="Noto Sans CJK SC" w:hAnsi="Noto Sans CJK SC" w:eastAsia="Noto Sans CJK SC" w:cs="Noto Sans CJK SC"/>
            <w:color w:val="2366A8"/>
            <w:u w:val="single"/>
          </w:rPr>
          <w:t>METR long-task capability research</w:t>
        </w:r>
      </w:hyperlink>
      <w:r>
        <w:rPr>
          <w:rFonts w:ascii="Noto Sans CJK SC" w:hAnsi="Noto Sans CJK SC" w:eastAsia="Noto Sans CJK SC" w:cs="Noto Sans CJK SC"/>
        </w:rPr>
        <w:t xml:space="preserve"> — 能力增长与长任务可靠性边界。</w:t>
      </w:r>
    </w:p>
    <w:p>
      <w:pPr>
        <w:pStyle w:val="ListNumber"/>
        <w:widowControl/>
      </w:pPr>
      <w:hyperlink r:id="rId73">
        <w:r>
          <w:rPr>
            <w:rFonts w:ascii="Noto Sans CJK SC" w:hAnsi="Noto Sans CJK SC" w:eastAsia="Noto Sans CJK SC" w:cs="Noto Sans CJK SC"/>
            <w:color w:val="2366A8"/>
            <w:u w:val="single"/>
          </w:rPr>
          <w:t>METR Time Horizons</w:t>
        </w:r>
      </w:hyperlink>
      <w:r>
        <w:rPr>
          <w:rFonts w:ascii="Noto Sans CJK SC" w:hAnsi="Noto Sans CJK SC" w:eastAsia="Noto Sans CJK SC" w:cs="Noto Sans CJK SC"/>
        </w:rPr>
        <w:t xml:space="preserve"> — 最新方法与时间序列。</w:t>
      </w:r>
    </w:p>
    <w:p>
      <w:pPr>
        <w:pStyle w:val="ListNumber"/>
        <w:widowControl/>
      </w:pPr>
      <w:hyperlink r:id="rId36">
        <w:r>
          <w:rPr>
            <w:rFonts w:ascii="Noto Sans CJK SC" w:hAnsi="Noto Sans CJK SC" w:eastAsia="Noto Sans CJK SC" w:cs="Noto Sans CJK SC"/>
            <w:color w:val="2366A8"/>
            <w:u w:val="single"/>
          </w:rPr>
          <w:t>Anthropic Building Effective Agents</w:t>
        </w:r>
      </w:hyperlink>
      <w:r>
        <w:rPr>
          <w:rFonts w:ascii="Noto Sans CJK SC" w:hAnsi="Noto Sans CJK SC" w:eastAsia="Noto Sans CJK SC" w:cs="Noto Sans CJK SC"/>
        </w:rPr>
        <w:t xml:space="preserve"> — 工作流、Agent、检查点与工程实践。</w:t>
      </w:r>
    </w:p>
    <w:p>
      <w:pPr>
        <w:pStyle w:val="ListNumber"/>
        <w:widowControl/>
      </w:pPr>
      <w:hyperlink r:id="rId74">
        <w:r>
          <w:rPr>
            <w:rFonts w:ascii="Noto Sans CJK SC" w:hAnsi="Noto Sans CJK SC" w:eastAsia="Noto Sans CJK SC" w:cs="Noto Sans CJK SC"/>
            <w:color w:val="2366A8"/>
            <w:u w:val="single"/>
          </w:rPr>
          <w:t>Anthropic Trustworthy Agents</w:t>
        </w:r>
      </w:hyperlink>
      <w:r>
        <w:rPr>
          <w:rFonts w:ascii="Noto Sans CJK SC" w:hAnsi="Noto Sans CJK SC" w:eastAsia="Noto Sans CJK SC" w:cs="Noto Sans CJK SC"/>
        </w:rPr>
        <w:t xml:space="preserve"> — 人类控制、安全交互、透明度与隐私。</w:t>
      </w:r>
    </w:p>
    <w:p>
      <w:pPr>
        <w:pStyle w:val="ListNumber"/>
        <w:widowControl/>
      </w:pPr>
      <w:hyperlink r:id="rId35">
        <w:r>
          <w:rPr>
            <w:rFonts w:ascii="Noto Sans CJK SC" w:hAnsi="Noto Sans CJK SC" w:eastAsia="Noto Sans CJK SC" w:cs="Noto Sans CJK SC"/>
            <w:color w:val="2366A8"/>
            <w:u w:val="single"/>
          </w:rPr>
          <w:t>OpenAI Practical Guide to Building AI Agents</w:t>
        </w:r>
      </w:hyperlink>
      <w:r>
        <w:rPr>
          <w:rFonts w:ascii="Noto Sans CJK SC" w:hAnsi="Noto Sans CJK SC" w:eastAsia="Noto Sans CJK SC" w:cs="Noto Sans CJK SC"/>
        </w:rPr>
        <w:t xml:space="preserve"> — 高风险动作人工监督与 guardrails。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E. 法规与中国市场</w:t>
      </w:r>
    </w:p>
    <w:p>
      <w:pPr>
        <w:pStyle w:val="ListNumber"/>
        <w:widowControl/>
      </w:pPr>
      <w:hyperlink r:id="rId27">
        <w:r>
          <w:rPr>
            <w:rFonts w:ascii="Noto Sans CJK SC" w:hAnsi="Noto Sans CJK SC" w:eastAsia="Noto Sans CJK SC" w:cs="Noto Sans CJK SC"/>
            <w:color w:val="2366A8"/>
            <w:u w:val="single"/>
          </w:rPr>
          <w:t>EU AI Act consolidated text</w:t>
        </w:r>
      </w:hyperlink>
      <w:r>
        <w:rPr>
          <w:rFonts w:ascii="Noto Sans CJK SC" w:hAnsi="Noto Sans CJK SC" w:eastAsia="Noto Sans CJK SC" w:cs="Noto Sans CJK SC"/>
        </w:rPr>
        <w:t xml:space="preserve"> — 法律正文，重点 Articles 12–14。</w:t>
      </w:r>
    </w:p>
    <w:p>
      <w:pPr>
        <w:pStyle w:val="ListNumber"/>
        <w:widowControl/>
      </w:pPr>
      <w:hyperlink r:id="rId75">
        <w:r>
          <w:rPr>
            <w:rFonts w:ascii="Noto Sans CJK SC" w:hAnsi="Noto Sans CJK SC" w:eastAsia="Noto Sans CJK SC" w:cs="Noto Sans CJK SC"/>
            <w:color w:val="2366A8"/>
            <w:u w:val="single"/>
          </w:rPr>
          <w:t>EU AI Act official PDF</w:t>
        </w:r>
      </w:hyperlink>
      <w:r>
        <w:rPr>
          <w:rFonts w:ascii="Noto Sans CJK SC" w:hAnsi="Noto Sans CJK SC" w:eastAsia="Noto Sans CJK SC" w:cs="Noto Sans CJK SC"/>
        </w:rPr>
        <w:t xml:space="preserve"> — 可下载原文。</w:t>
      </w:r>
    </w:p>
    <w:p>
      <w:pPr>
        <w:pStyle w:val="ListNumber"/>
        <w:widowControl/>
      </w:pPr>
      <w:hyperlink r:id="rId28">
        <w:r>
          <w:rPr>
            <w:rFonts w:ascii="Noto Sans CJK SC" w:hAnsi="Noto Sans CJK SC" w:eastAsia="Noto Sans CJK SC" w:cs="Noto Sans CJK SC"/>
            <w:color w:val="2366A8"/>
            <w:u w:val="single"/>
          </w:rPr>
          <w:t>European Commission AI Act overview</w:t>
        </w:r>
      </w:hyperlink>
      <w:r>
        <w:rPr>
          <w:rFonts w:ascii="Noto Sans CJK SC" w:hAnsi="Noto Sans CJK SC" w:eastAsia="Noto Sans CJK SC" w:cs="Noto Sans CJK SC"/>
        </w:rPr>
        <w:t xml:space="preserve"> — 当前适用时间线与分类。</w:t>
      </w:r>
    </w:p>
    <w:p>
      <w:pPr>
        <w:pStyle w:val="ListNumber"/>
        <w:widowControl/>
      </w:pPr>
      <w:hyperlink r:id="rId76">
        <w:r>
          <w:rPr>
            <w:rFonts w:ascii="Noto Sans CJK SC" w:hAnsi="Noto Sans CJK SC" w:eastAsia="Noto Sans CJK SC" w:cs="Noto Sans CJK SC"/>
            <w:color w:val="2366A8"/>
            <w:u w:val="single"/>
          </w:rPr>
          <w:t>CNNIC 2025 年 6 月生成式 AI 用户报告</w:t>
        </w:r>
      </w:hyperlink>
      <w:r>
        <w:rPr>
          <w:rFonts w:ascii="Noto Sans CJK SC" w:hAnsi="Noto Sans CJK SC" w:eastAsia="Noto Sans CJK SC" w:cs="Noto Sans CJK SC"/>
        </w:rPr>
        <w:t xml:space="preserve"> — 5.15 亿用户、36.5% 普及率。</w:t>
      </w:r>
    </w:p>
    <w:p>
      <w:pPr>
        <w:pStyle w:val="ListNumber"/>
        <w:widowControl/>
      </w:pPr>
      <w:hyperlink r:id="rId37">
        <w:r>
          <w:rPr>
            <w:rFonts w:ascii="Noto Sans CJK SC" w:hAnsi="Noto Sans CJK SC" w:eastAsia="Noto Sans CJK SC" w:cs="Noto Sans CJK SC"/>
            <w:color w:val="2366A8"/>
            <w:u w:val="single"/>
          </w:rPr>
          <w:t>CNNIC 第57次报告发布信息</w:t>
        </w:r>
      </w:hyperlink>
      <w:r>
        <w:rPr>
          <w:rFonts w:ascii="Noto Sans CJK SC" w:hAnsi="Noto Sans CJK SC" w:eastAsia="Noto Sans CJK SC" w:cs="Noto Sans CJK SC"/>
        </w:rPr>
        <w:t xml:space="preserve"> — 2025 年 12 月 6.02 亿用户、42.8% 普及率。</w:t>
      </w:r>
    </w:p>
    <w:p>
      <w:pPr>
        <w:pStyle w:val="ListNumber"/>
        <w:widowControl/>
      </w:pPr>
      <w:hyperlink r:id="rId38">
        <w:r>
          <w:rPr>
            <w:rFonts w:ascii="Noto Sans CJK SC" w:hAnsi="Noto Sans CJK SC" w:eastAsia="Noto Sans CJK SC" w:cs="Noto Sans CJK SC"/>
            <w:color w:val="2366A8"/>
            <w:u w:val="single"/>
          </w:rPr>
          <w:t>国务院“人工智能+”行动意见 PDF</w:t>
        </w:r>
      </w:hyperlink>
      <w:r>
        <w:rPr>
          <w:rFonts w:ascii="Noto Sans CJK SC" w:hAnsi="Noto Sans CJK SC" w:eastAsia="Noto Sans CJK SC" w:cs="Noto Sans CJK SC"/>
        </w:rPr>
        <w:t xml:space="preserve"> — “模型即服务”“智能体即服务”和应用服务链。</w:t>
      </w:r>
    </w:p>
    <w:p>
      <w:pPr>
        <w:pStyle w:val="ListNumber"/>
        <w:widowControl/>
      </w:pPr>
      <w:hyperlink r:id="rId39">
        <w:r>
          <w:rPr>
            <w:rFonts w:ascii="Noto Sans CJK SC" w:hAnsi="Noto Sans CJK SC" w:eastAsia="Noto Sans CJK SC" w:cs="Noto Sans CJK SC"/>
            <w:color w:val="2366A8"/>
            <w:u w:val="single"/>
          </w:rPr>
          <w:t>生成式人工智能服务管理暂行办法</w:t>
        </w:r>
      </w:hyperlink>
      <w:r>
        <w:rPr>
          <w:rFonts w:ascii="Noto Sans CJK SC" w:hAnsi="Noto Sans CJK SC" w:eastAsia="Noto Sans CJK SC" w:cs="Noto Sans CJK SC"/>
        </w:rPr>
        <w:t xml:space="preserve"> — 中国生成式 AI 服务治理基础。</w:t>
      </w:r>
    </w:p>
    <w:p>
      <w:pPr>
        <w:pStyle w:val="ListNumber"/>
        <w:widowControl/>
      </w:pPr>
      <w:hyperlink r:id="rId77">
        <w:r>
          <w:rPr>
            <w:rFonts w:ascii="Noto Sans CJK SC" w:hAnsi="Noto Sans CJK SC" w:eastAsia="Noto Sans CJK SC" w:cs="Noto Sans CJK SC"/>
            <w:color w:val="2366A8"/>
            <w:u w:val="single"/>
          </w:rPr>
          <w:t>国家网信办生成式 AI 服务备案公告</w:t>
        </w:r>
      </w:hyperlink>
      <w:r>
        <w:rPr>
          <w:rFonts w:ascii="Noto Sans CJK SC" w:hAnsi="Noto Sans CJK SC" w:eastAsia="Noto Sans CJK SC" w:cs="Noto Sans CJK SC"/>
        </w:rPr>
        <w:t xml:space="preserve"> — 面向公众服务的备案与信息披露。</w:t>
      </w:r>
    </w:p>
    <w:p>
      <w:pPr>
        <w:pStyle w:val="ListNumber"/>
        <w:widowControl/>
      </w:pPr>
      <w:hyperlink r:id="rId78">
        <w:r>
          <w:rPr>
            <w:rFonts w:ascii="Noto Sans CJK SC" w:hAnsi="Noto Sans CJK SC" w:eastAsia="Noto Sans CJK SC" w:cs="Noto Sans CJK SC"/>
            <w:color w:val="2366A8"/>
            <w:u w:val="single"/>
          </w:rPr>
          <w:t>国家网信办智能体应用发展治理指引</w:t>
        </w:r>
      </w:hyperlink>
      <w:r>
        <w:rPr>
          <w:rFonts w:ascii="Noto Sans CJK SC" w:hAnsi="Noto Sans CJK SC" w:eastAsia="Noto Sans CJK SC" w:cs="Noto Sans CJK SC"/>
        </w:rPr>
        <w:t xml:space="preserve"> — 智能体全生命周期安全、可靠与可信。</w:t>
      </w:r>
    </w:p>
    <w:p>
      <w:pPr>
        <w:pStyle w:val="ListNumber"/>
        <w:widowControl/>
      </w:pPr>
      <w:hyperlink r:id="rId79">
        <w:r>
          <w:rPr>
            <w:rFonts w:ascii="Noto Sans CJK SC" w:hAnsi="Noto Sans CJK SC" w:eastAsia="Noto Sans CJK SC" w:cs="Noto Sans CJK SC"/>
            <w:color w:val="2366A8"/>
            <w:u w:val="single"/>
          </w:rPr>
          <w:t>国家统计局 2025 年人工智能产业数据解读</w:t>
        </w:r>
      </w:hyperlink>
      <w:r>
        <w:rPr>
          <w:rFonts w:ascii="Noto Sans CJK SC" w:hAnsi="Noto Sans CJK SC" w:eastAsia="Noto Sans CJK SC" w:cs="Noto Sans CJK SC"/>
        </w:rPr>
        <w:t xml:space="preserve"> — AI 核心产业规模和制造业应用。</w:t>
      </w:r>
    </w:p>
    <w:p>
      <w:pPr>
        <w:pStyle w:val="ListNumber"/>
        <w:widowControl/>
      </w:pPr>
      <w:hyperlink r:id="rId80">
        <w:r>
          <w:rPr>
            <w:rFonts w:ascii="Noto Sans CJK SC" w:hAnsi="Noto Sans CJK SC" w:eastAsia="Noto Sans CJK SC" w:cs="Noto Sans CJK SC"/>
            <w:color w:val="2366A8"/>
            <w:u w:val="single"/>
          </w:rPr>
          <w:t>国家数据局《数字中国建设2025年行动方案/报告》专题</w:t>
        </w:r>
      </w:hyperlink>
      <w:r>
        <w:rPr>
          <w:rFonts w:ascii="Noto Sans CJK SC" w:hAnsi="Noto Sans CJK SC" w:eastAsia="Noto Sans CJK SC" w:cs="Noto Sans CJK SC"/>
        </w:rPr>
        <w:t xml:space="preserve"> — AI 应用向智能体升级。</w:t>
      </w:r>
    </w:p>
    <w:p>
      <w:pPr>
        <w:pStyle w:val="Heading2"/>
        <w:widowControl/>
      </w:pPr>
      <w:r>
        <w:rPr>
          <w:rFonts w:ascii="Noto Sans CJK SC" w:hAnsi="Noto Sans CJK SC" w:eastAsia="Noto Sans CJK SC" w:cs="Noto Sans CJK SC"/>
        </w:rPr>
        <w:t>F. Company OS 自有可验证资产</w:t>
      </w:r>
    </w:p>
    <w:p>
      <w:pPr>
        <w:pStyle w:val="ListNumber"/>
        <w:widowControl/>
      </w:pPr>
      <w:hyperlink r:id="rId40">
        <w:r>
          <w:rPr>
            <w:rFonts w:ascii="Noto Sans CJK SC" w:hAnsi="Noto Sans CJK SC" w:eastAsia="Noto Sans CJK SC" w:cs="Noto Sans CJK SC"/>
            <w:color w:val="2366A8"/>
            <w:u w:val="single"/>
          </w:rPr>
          <w:t>Company OS / ANC 公开产品与 Demo</w:t>
        </w:r>
      </w:hyperlink>
      <w:r>
        <w:rPr>
          <w:rFonts w:ascii="Noto Sans CJK SC" w:hAnsi="Noto Sans CJK SC" w:eastAsia="Noto Sans CJK SC" w:cs="Noto Sans CJK SC"/>
        </w:rPr>
        <w:t xml:space="preserve"> — 公开可访问的产品首页和 fixture-only Demo。</w:t>
      </w:r>
    </w:p>
    <w:p>
      <w:pPr>
        <w:pStyle w:val="ListNumber"/>
        <w:widowControl/>
      </w:pPr>
      <w:hyperlink r:id="rId41">
        <w:r>
          <w:rPr>
            <w:rFonts w:ascii="Noto Sans CJK SC" w:hAnsi="Noto Sans CJK SC" w:eastAsia="Noto Sans CJK SC" w:cs="Noto Sans CJK SC"/>
            <w:color w:val="2366A8"/>
            <w:u w:val="single"/>
          </w:rPr>
          <w:t>Company OS GitHub</w:t>
        </w:r>
      </w:hyperlink>
      <w:r>
        <w:rPr>
          <w:rFonts w:ascii="Noto Sans CJK SC" w:hAnsi="Noto Sans CJK SC" w:eastAsia="Noto Sans CJK SC" w:cs="Noto Sans CJK SC"/>
        </w:rPr>
        <w:t xml:space="preserve"> — 代码、架构、测试和部署合同。</w:t>
      </w:r>
    </w:p>
    <w:p>
      <w:pPr>
        <w:pStyle w:val="ListNumber"/>
        <w:widowControl/>
      </w:pPr>
      <w:hyperlink r:id="rId42">
        <w:r>
          <w:rPr>
            <w:rFonts w:ascii="Noto Sans CJK SC" w:hAnsi="Noto Sans CJK SC" w:eastAsia="Noto Sans CJK SC" w:cs="Noto Sans CJK SC"/>
            <w:color w:val="2366A8"/>
            <w:u w:val="single"/>
          </w:rPr>
          <w:t>Company OS GitHub Actions</w:t>
        </w:r>
      </w:hyperlink>
      <w:r>
        <w:rPr>
          <w:rFonts w:ascii="Noto Sans CJK SC" w:hAnsi="Noto Sans CJK SC" w:eastAsia="Noto Sans CJK SC" w:cs="Noto Sans CJK SC"/>
        </w:rPr>
        <w:t xml:space="preserve"> — 公开 CI 运行记录（以页面当前显示为准）。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现场演示建议</w:t>
      </w:r>
    </w:p>
    <w:p>
      <w:pPr>
        <w:widowControl/>
      </w:pPr>
      <w:r>
        <w:rPr>
          <w:rFonts w:ascii="Noto Sans CJK SC" w:hAnsi="Noto Sans CJK SC" w:eastAsia="Noto Sans CJK SC" w:cs="Noto Sans CJK SC"/>
          <w:b/>
        </w:rPr>
        <w:t xml:space="preserve">1. </w:t>
      </w:r>
      <w:r>
        <w:rPr>
          <w:rFonts w:ascii="Noto Sans CJK SC" w:hAnsi="Noto Sans CJK SC" w:eastAsia="Noto Sans CJK SC" w:cs="Noto Sans CJK SC"/>
        </w:rPr>
        <w:t xml:space="preserve">先打开 </w:t>
      </w:r>
      <w:hyperlink r:id="rId40">
        <w:r>
          <w:rPr>
            <w:rFonts w:ascii="Noto Sans CJK SC" w:hAnsi="Noto Sans CJK SC" w:eastAsia="Noto Sans CJK SC" w:cs="Noto Sans CJK SC"/>
            <w:color w:val="2366A8"/>
            <w:u w:val="single"/>
          </w:rPr>
          <w:t>ANC 首页</w:t>
        </w:r>
      </w:hyperlink>
      <w:r>
        <w:rPr>
          <w:rFonts w:ascii="Noto Sans CJK SC" w:hAnsi="Noto Sans CJK SC" w:eastAsia="Noto Sans CJK SC" w:cs="Noto Sans CJK SC"/>
        </w:rPr>
        <w:t>，一句话定义“公司控制平面”。</w:t>
      </w:r>
    </w:p>
    <w:p>
      <w:pPr>
        <w:widowControl/>
      </w:pPr>
      <w:r>
        <w:rPr>
          <w:rFonts w:ascii="Noto Sans CJK SC" w:hAnsi="Noto Sans CJK SC" w:eastAsia="Noto Sans CJK SC" w:cs="Noto Sans CJK SC"/>
          <w:b/>
        </w:rPr>
        <w:t xml:space="preserve">2. </w:t>
      </w:r>
      <w:r>
        <w:rPr>
          <w:rFonts w:ascii="Noto Sans CJK SC" w:hAnsi="Noto Sans CJK SC" w:eastAsia="Noto Sans CJK SC" w:cs="Noto Sans CJK SC"/>
        </w:rPr>
        <w:t>进入 Demo，展示公司 → Agent 资产 → Work → Approval → Evidence 的闭环。</w:t>
      </w:r>
    </w:p>
    <w:p>
      <w:pPr>
        <w:widowControl/>
      </w:pPr>
      <w:r>
        <w:rPr>
          <w:rFonts w:ascii="Noto Sans CJK SC" w:hAnsi="Noto Sans CJK SC" w:eastAsia="Noto Sans CJK SC" w:cs="Noto Sans CJK SC"/>
          <w:b/>
        </w:rPr>
        <w:t xml:space="preserve">3. </w:t>
      </w:r>
      <w:r>
        <w:rPr>
          <w:rFonts w:ascii="Noto Sans CJK SC" w:hAnsi="Noto Sans CJK SC" w:eastAsia="Noto Sans CJK SC" w:cs="Noto Sans CJK SC"/>
        </w:rPr>
        <w:t>用“返回首页”回到正式入口，强调 Demo 与生产隔离。</w:t>
      </w:r>
    </w:p>
    <w:p>
      <w:pPr>
        <w:widowControl/>
      </w:pPr>
      <w:r>
        <w:rPr>
          <w:rFonts w:ascii="Noto Sans CJK SC" w:hAnsi="Noto Sans CJK SC" w:eastAsia="Noto Sans CJK SC" w:cs="Noto Sans CJK SC"/>
          <w:b/>
        </w:rPr>
        <w:t xml:space="preserve">4. </w:t>
      </w:r>
      <w:r>
        <w:rPr>
          <w:rFonts w:ascii="Noto Sans CJK SC" w:hAnsi="Noto Sans CJK SC" w:eastAsia="Noto Sans CJK SC" w:cs="Noto Sans CJK SC"/>
        </w:rPr>
        <w:t>展示 `/start`：客户可选 SaaS 或自托管、可选飞书/其他 OAuth/OIDC/自建身份。</w:t>
      </w:r>
    </w:p>
    <w:p>
      <w:pPr>
        <w:widowControl/>
      </w:pPr>
      <w:r>
        <w:rPr>
          <w:rFonts w:ascii="Noto Sans CJK SC" w:hAnsi="Noto Sans CJK SC" w:eastAsia="Noto Sans CJK SC" w:cs="Noto Sans CJK SC"/>
          <w:b/>
        </w:rPr>
        <w:t xml:space="preserve">5. </w:t>
      </w:r>
      <w:r>
        <w:rPr>
          <w:rFonts w:ascii="Noto Sans CJK SC" w:hAnsi="Noto Sans CJK SC" w:eastAsia="Noto Sans CJK SC" w:cs="Noto Sans CJK SC"/>
        </w:rPr>
        <w:t>若场合允许，再展示授权公司的 `/leike/`，说明共享域名路径租户和组织身份绑定。</w:t>
      </w:r>
    </w:p>
    <w:p>
      <w:pPr>
        <w:widowControl/>
      </w:pPr>
      <w:r>
        <w:rPr>
          <w:rFonts w:ascii="Noto Sans CJK SC" w:hAnsi="Noto Sans CJK SC" w:eastAsia="Noto Sans CJK SC" w:cs="Noto Sans CJK SC"/>
          <w:b/>
        </w:rPr>
        <w:t xml:space="preserve">6. </w:t>
      </w:r>
      <w:r>
        <w:rPr>
          <w:rFonts w:ascii="Noto Sans CJK SC" w:hAnsi="Noto Sans CJK SC" w:eastAsia="Noto Sans CJK SC" w:cs="Noto Sans CJK SC"/>
        </w:rPr>
        <w:t>最后用 GitHub 架构和测试合同收尾：Company OS 是可验证基础设施，不是概念片。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不应过度声称的内容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</w:rPr>
        <w:t>当前公开 Demo 是 fixture-only，不应称为真实客户数据或真实 Agent 执行。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</w:rPr>
        <w:t>第二家真实公司、第二个真实用户的生产 E2E 尚不能在没有授权身份和数据时声称完成。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</w:rPr>
        <w:t>尚无公开第三方客户案例时，不要声称“已被多家企业采用”。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</w:rPr>
        <w:t>不要把 Gartner 预测、厂商自有调查或遥测说成独立学术事实。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</w:rPr>
        <w:t>不要声称满足所有地区、行业的全部合规要求；应说“提供支持治理与审计所需的基础控制”。</w:t>
      </w:r>
    </w:p>
    <w:p>
      <w:pPr>
        <w:pStyle w:val="ListBullet"/>
        <w:widowControl/>
      </w:pPr>
      <w:r>
        <w:rPr>
          <w:rFonts w:ascii="Noto Sans CJK SC" w:hAnsi="Noto Sans CJK SC" w:eastAsia="Noto Sans CJK SC" w:cs="Noto Sans CJK SC"/>
        </w:rPr>
        <w:t>不要把“可自托管、Secret 不回传控制平面”的设计说成无条件安全保证，仍需客户环境评估。</w:t>
      </w:r>
    </w:p>
    <w:p>
      <w:pPr>
        <w:pStyle w:val="Heading1"/>
        <w:widowControl/>
      </w:pPr>
      <w:r>
        <w:rPr>
          <w:rFonts w:ascii="Noto Sans CJK SC" w:hAnsi="Noto Sans CJK SC" w:eastAsia="Noto Sans CJK SC" w:cs="Noto Sans CJK SC"/>
        </w:rPr>
        <w:t>最精炼的结尾</w:t>
      </w:r>
    </w:p>
    <w:p>
      <w:pPr>
        <w:widowControl/>
      </w:pPr>
      <w:r>
        <w:rPr>
          <w:rFonts w:ascii="Noto Sans CJK SC" w:hAnsi="Noto Sans CJK SC" w:eastAsia="Noto Sans CJK SC" w:cs="Noto Sans CJK SC"/>
        </w:rPr>
        <w:t>“模型越来越强，但企业真正缺的是让它们合法、安全、可控地工作。Company OS 把每个 Agent 放回真实公司结构里：有身份、有权限、有负责人、有审批、有证据。我们不是替企业选择某个 AI；我们让企业能够同时使用所有 AI，而不失去控制。”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5B6573"/>
        <w:sz w:val="16"/>
      </w:rPr>
      <w:t xml:space="preserve">Company OS · Evidence Brief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color w:val="5B6573"/>
        <w:sz w:val="15"/>
      </w:rPr>
      <w:t>COMPANY OS / ANC  ·  PRESENTATION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Noto Sans CJK SC" w:hAnsi="Noto Sans CJK SC" w:eastAsia="Noto Sans CJK SC"/>
      <w:color w:val="2731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66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24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">
    <w:name w:val="Evidence"/>
    <w:basedOn w:val="Normal"/>
    <w:pPr>
      <w:spacing w:after="100"/>
      <w:ind w:left="259"/>
    </w:pPr>
    <w:rPr>
      <w:color w:val="5B6573"/>
      <w:sz w:val="17"/>
    </w:rPr>
  </w:style>
  <w:style w:type="paragraph" w:customStyle="1" w:styleId="Stageline">
    <w:name w:val="Stage line"/>
    <w:basedOn w:val="Normal"/>
    <w:rPr>
      <w:b/>
      <w:color w:val="1832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ews.microsoft.com/en-cee/2025/04/24/microsofts-2025-work-trend-index-report-reveals-the-rise-of-the-frontier-firm-marking-a-new-era-of-workforce-dynamics-2/" TargetMode="External"/><Relationship Id="rId12" Type="http://schemas.openxmlformats.org/officeDocument/2006/relationships/hyperlink" Target="https://www.mckinsey.com/capabilities/quantumblack/our-insights/the-state-of-ai" TargetMode="External"/><Relationship Id="rId13" Type="http://schemas.openxmlformats.org/officeDocument/2006/relationships/hyperlink" Target="https://hai.stanford.edu/ai-index/2025-ai-index-report/economy%C2%A0" TargetMode="External"/><Relationship Id="rId14" Type="http://schemas.openxmlformats.org/officeDocument/2006/relationships/hyperlink" Target="https://www.ibm.com/thought-leadership/institute-business-value/report/agentic-ai-profits" TargetMode="External"/><Relationship Id="rId15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16" Type="http://schemas.openxmlformats.org/officeDocument/2006/relationships/hyperlink" Target="https://www.servicenow.com/products/ai-control-tower.html" TargetMode="External"/><Relationship Id="rId17" Type="http://schemas.openxmlformats.org/officeDocument/2006/relationships/hyperlink" Target="https://investor.salesforce.com/news/news-details/2025/Salesforce-Launches-Agentforce-3-to-Solve-the-Biggest-Blockers-to-Scaling-AI-Agents-Visibility-and-Control/default.aspx" TargetMode="External"/><Relationship Id="rId18" Type="http://schemas.openxmlformats.org/officeDocument/2006/relationships/hyperlink" Target="https://learn.microsoft.com/en-us/microsoft-365/copilot/copilot-control-system/overview" TargetMode="External"/><Relationship Id="rId19" Type="http://schemas.openxmlformats.org/officeDocument/2006/relationships/hyperlink" Target="https://www.ibm.com/products/watsonx-governance" TargetMode="External"/><Relationship Id="rId20" Type="http://schemas.openxmlformats.org/officeDocument/2006/relationships/hyperlink" Target="https://openai.com/business/frontier/" TargetMode="External"/><Relationship Id="rId21" Type="http://schemas.openxmlformats.org/officeDocument/2006/relationships/hyperlink" Target="https://developers.googleblog.com/en/a2a-a-new-era-of-agent-interoperability/" TargetMode="External"/><Relationship Id="rId22" Type="http://schemas.openxmlformats.org/officeDocument/2006/relationships/hyperlink" Target="https://www.anthropic.com/news/model-context-protocol" TargetMode="External"/><Relationship Id="rId23" Type="http://schemas.openxmlformats.org/officeDocument/2006/relationships/hyperlink" Target="https://www.nist.gov/artificial-intelligence/ai-agent-standards-initiative" TargetMode="External"/><Relationship Id="rId24" Type="http://schemas.openxmlformats.org/officeDocument/2006/relationships/hyperlink" Target="https://www.nist.gov/publications/zero-trust-architecture" TargetMode="External"/><Relationship Id="rId25" Type="http://schemas.openxmlformats.org/officeDocument/2006/relationships/hyperlink" Target="https://learn.microsoft.com/en-us/entra/agent-id/" TargetMode="External"/><Relationship Id="rId26" Type="http://schemas.openxmlformats.org/officeDocument/2006/relationships/hyperlink" Target="https://modelcontextprotocol.io/specification/2025-06-18/basic/authorization" TargetMode="External"/><Relationship Id="rId27" Type="http://schemas.openxmlformats.org/officeDocument/2006/relationships/hyperlink" Target="https://eur-lex.europa.eu/eli/reg/2024/1689" TargetMode="External"/><Relationship Id="rId28" Type="http://schemas.openxmlformats.org/officeDocument/2006/relationships/hyperlink" Target="https://digital-strategy.ec.europa.eu/en/policies/regulatory-framework-ai" TargetMode="External"/><Relationship Id="rId29" Type="http://schemas.openxmlformats.org/officeDocument/2006/relationships/hyperlink" Target="https://www.nist.gov/publications/artificial-intelligence-risk-management-framework-generative-artificial-intelligence" TargetMode="External"/><Relationship Id="rId30" Type="http://schemas.openxmlformats.org/officeDocument/2006/relationships/hyperlink" Target="https://www.ncsc.gov.uk/collection/guidelines-secure-ai-system-development" TargetMode="External"/><Relationship Id="rId31" Type="http://schemas.openxmlformats.org/officeDocument/2006/relationships/hyperlink" Target="https://www.ibm.com/reports/data-breach" TargetMode="External"/><Relationship Id="rId32" Type="http://schemas.openxmlformats.org/officeDocument/2006/relationships/hyperlink" Target="https://newsroom.cisco.com/c/r/newsroom/en/us/a/y2025/m04/cisco-2025-data-privacy-benchmark-study-privacy-landscape-grows-increasingly-complex-in-the-age-of-ai.html" TargetMode="External"/><Relationship Id="rId33" Type="http://schemas.openxmlformats.org/officeDocument/2006/relationships/hyperlink" Target="https://www.netskope.com/resources/cloud-and-threat-reports/cloud-and-threat-report-shadow-ai-and-agentic-ai-2025" TargetMode="External"/><Relationship Id="rId34" Type="http://schemas.openxmlformats.org/officeDocument/2006/relationships/hyperlink" Target="https://metr.org/blog/2025-03-19-measuring-ai-ability-to-complete-long-tasks/" TargetMode="External"/><Relationship Id="rId35" Type="http://schemas.openxmlformats.org/officeDocument/2006/relationships/hyperlink" Target="https://openai.com/business/guides-and-resources/a-practical-guide-to-building-ai-agents/" TargetMode="External"/><Relationship Id="rId36" Type="http://schemas.openxmlformats.org/officeDocument/2006/relationships/hyperlink" Target="https://www.anthropic.com/engineering/building-effective-agents" TargetMode="External"/><Relationship Id="rId37" Type="http://schemas.openxmlformats.org/officeDocument/2006/relationships/hyperlink" Target="https://www3.cnnic.cn/n4/2026/0304/c88-11549.html" TargetMode="External"/><Relationship Id="rId38" Type="http://schemas.openxmlformats.org/officeDocument/2006/relationships/hyperlink" Target="https://www.gov.cn/gongbao/2025/issue_12266/material/gwygb202525.pdf" TargetMode="External"/><Relationship Id="rId39" Type="http://schemas.openxmlformats.org/officeDocument/2006/relationships/hyperlink" Target="https://www.cac.gov.cn/2023-07/13/c_1690898327029107.htm" TargetMode="External"/><Relationship Id="rId40" Type="http://schemas.openxmlformats.org/officeDocument/2006/relationships/hyperlink" Target="https://anc.raft.xin/" TargetMode="External"/><Relationship Id="rId41" Type="http://schemas.openxmlformats.org/officeDocument/2006/relationships/hyperlink" Target="https://github.com/ElliottYip/company-os" TargetMode="External"/><Relationship Id="rId42" Type="http://schemas.openxmlformats.org/officeDocument/2006/relationships/hyperlink" Target="https://github.com/ElliottYip/company-os/actions" TargetMode="External"/><Relationship Id="rId43" Type="http://schemas.openxmlformats.org/officeDocument/2006/relationships/hyperlink" Target="https://hai.stanford.edu/assets/files/hai_ai_index_report_2025.pdf" TargetMode="External"/><Relationship Id="rId44" Type="http://schemas.openxmlformats.org/officeDocument/2006/relationships/hyperlink" Target="https://techcommunity.microsoft.com/blog/surfaceitpro/endpoints-and-ai-strategy-lessons-of-the-microsoft-work-trend-index-2025/4462110" TargetMode="External"/><Relationship Id="rId45" Type="http://schemas.openxmlformats.org/officeDocument/2006/relationships/hyperlink" Target="https://www.pwc.com/gx/en/news-room/press-releases/2025/ai-linked-to-a-fourfold-increase-in-productivity-growth.html" TargetMode="External"/><Relationship Id="rId46" Type="http://schemas.openxmlformats.org/officeDocument/2006/relationships/hyperlink" Target="https://www.pwc.com/gx/en/issues/artificial-intelligence/job-barometer/2025/report.pdf" TargetMode="External"/><Relationship Id="rId47" Type="http://schemas.openxmlformats.org/officeDocument/2006/relationships/hyperlink" Target="https://www.weforum.org/publications/the-future-of-jobs-report-2025/in-full/2-jobs-outlook/" TargetMode="External"/><Relationship Id="rId48" Type="http://schemas.openxmlformats.org/officeDocument/2006/relationships/hyperlink" Target="https://www.weforum.org/publications/the-future-of-jobs-report-2025/in-full/4-workforce-strategies/" TargetMode="External"/><Relationship Id="rId49" Type="http://schemas.openxmlformats.org/officeDocument/2006/relationships/hyperlink" Target="https://www.ibm.com/thought-leadership/institute-business-value/report/chief-ai-officer" TargetMode="External"/><Relationship Id="rId50" Type="http://schemas.openxmlformats.org/officeDocument/2006/relationships/hyperlink" Target="https://www.ibm.com/thought-leadership/institute-business-value/c-suite-study/cdo" TargetMode="External"/><Relationship Id="rId51" Type="http://schemas.openxmlformats.org/officeDocument/2006/relationships/hyperlink" Target="https://www.deloitte.com/us/en/what-we-do/capabilities/applied-artificial-intelligence/content/state-of-generative-ai-in-enterprise.html" TargetMode="External"/><Relationship Id="rId52" Type="http://schemas.openxmlformats.org/officeDocument/2006/relationships/hyperlink" Target="https://www.deloitte.com/uk/en/about/press-room/deloitte-ai-institute-state-of-generative-ai-in-the-enterprise-report.html" TargetMode="External"/><Relationship Id="rId53" Type="http://schemas.openxmlformats.org/officeDocument/2006/relationships/hyperlink" Target="https://newsroom.servicenow.com/press-releases/details/2025/ServiceNow-Launches-AI-Control-Tower-a-Centralized-Command-Center-to-Govern-Manage-Secure-and-Realize-Value-From-Any-AI-Agent-Model-and-Workflow/" TargetMode="External"/><Relationship Id="rId54" Type="http://schemas.openxmlformats.org/officeDocument/2006/relationships/hyperlink" Target="https://techcommunity.microsoft.com/blog/microsoft365copilotblog/introducing-copilot-control-system/4397248" TargetMode="External"/><Relationship Id="rId55" Type="http://schemas.openxmlformats.org/officeDocument/2006/relationships/hyperlink" Target="https://openai.com/business/workspace-agents/" TargetMode="External"/><Relationship Id="rId56" Type="http://schemas.openxmlformats.org/officeDocument/2006/relationships/hyperlink" Target="https://help.openai.com/en/articles/20001143" TargetMode="External"/><Relationship Id="rId57" Type="http://schemas.openxmlformats.org/officeDocument/2006/relationships/hyperlink" Target="https://csrc.nist.gov/pubs/sp/800/207/a/final" TargetMode="External"/><Relationship Id="rId58" Type="http://schemas.openxmlformats.org/officeDocument/2006/relationships/hyperlink" Target="https://csrc.nist.gov/pubs/sp/1800/35/final" TargetMode="External"/><Relationship Id="rId59" Type="http://schemas.openxmlformats.org/officeDocument/2006/relationships/hyperlink" Target="https://learn.microsoft.com/en-us/entra/id-governance/agent-id-governance-overview" TargetMode="External"/><Relationship Id="rId60" Type="http://schemas.openxmlformats.org/officeDocument/2006/relationships/hyperlink" Target="https://cloud.google.com/blog/products/ai-machine-learning/agent2agent-protocol-is-getting-an-upgrade" TargetMode="External"/><Relationship Id="rId61" Type="http://schemas.openxmlformats.org/officeDocument/2006/relationships/hyperlink" Target="https://modelcontextprotocol.io/specification/2025-03-26/index" TargetMode="External"/><Relationship Id="rId62" Type="http://schemas.openxmlformats.org/officeDocument/2006/relationships/hyperlink" Target="https://www.iso.org/standard/42001" TargetMode="External"/><Relationship Id="rId63" Type="http://schemas.openxmlformats.org/officeDocument/2006/relationships/hyperlink" Target="https://www.iso.org/artificial-intelligence/ai-management-systems" TargetMode="External"/><Relationship Id="rId64" Type="http://schemas.openxmlformats.org/officeDocument/2006/relationships/hyperlink" Target="https://hai.stanford.edu/ai-index/2025-ai-index-report/responsible-ai" TargetMode="External"/><Relationship Id="rId65" Type="http://schemas.openxmlformats.org/officeDocument/2006/relationships/hyperlink" Target="https://nvlpubs.nist.gov/nistpubs/ai/NIST.AI.600-1.pdf" TargetMode="External"/><Relationship Id="rId66" Type="http://schemas.openxmlformats.org/officeDocument/2006/relationships/hyperlink" Target="https://atlas.mitre.org/" TargetMode="External"/><Relationship Id="rId67" Type="http://schemas.openxmlformats.org/officeDocument/2006/relationships/hyperlink" Target="https://genai.owasp.org/2025/12/09/owasp-top-10-for-agentic-applications-the-benchmark-for-agentic-security-in-the-age-of-autonomous-ai/" TargetMode="External"/><Relationship Id="rId68" Type="http://schemas.openxmlformats.org/officeDocument/2006/relationships/hyperlink" Target="https://www.ncsc.gov.uk/files/Guidelines-for-secure-AI-system-development.pdf" TargetMode="External"/><Relationship Id="rId69" Type="http://schemas.openxmlformats.org/officeDocument/2006/relationships/hyperlink" Target="https://newsroom.ibm.com/2025-07-30-ibm-report-13-of-organizations-reported-breaches-of-ai-models-or-applications%2C-97-of-which-reported-lacking-proper-ai-access-controls" TargetMode="External"/><Relationship Id="rId70" Type="http://schemas.openxmlformats.org/officeDocument/2006/relationships/hyperlink" Target="https://www.netskope.com/resources/cloud-and-threat-reports/cloud-and-threat-report-generative-ai-2025" TargetMode="External"/><Relationship Id="rId71" Type="http://schemas.openxmlformats.org/officeDocument/2006/relationships/hyperlink" Target="https://www.cisco.com/c/dam/en_us/about/doing_business/trust-center/docs/cisco-privacy-benchmark-study-2025.pdf" TargetMode="External"/><Relationship Id="rId72" Type="http://schemas.openxmlformats.org/officeDocument/2006/relationships/hyperlink" Target="https://www.cyberhaven.com/resources/report/2025-ai-adoption-risk-report" TargetMode="External"/><Relationship Id="rId73" Type="http://schemas.openxmlformats.org/officeDocument/2006/relationships/hyperlink" Target="https://metr.org/time-horizons/" TargetMode="External"/><Relationship Id="rId74" Type="http://schemas.openxmlformats.org/officeDocument/2006/relationships/hyperlink" Target="https://www.anthropic.com/research/trustworthy-agents" TargetMode="External"/><Relationship Id="rId75" Type="http://schemas.openxmlformats.org/officeDocument/2006/relationships/hyperlink" Target="https://eur-lex.europa.eu/legal-content/EN/TXT/PDF/?uri=CELEX%3A32024R1689" TargetMode="External"/><Relationship Id="rId76" Type="http://schemas.openxmlformats.org/officeDocument/2006/relationships/hyperlink" Target="https://www1.cnnic.cn/n4/2025/1021/c88-11391.html" TargetMode="External"/><Relationship Id="rId77" Type="http://schemas.openxmlformats.org/officeDocument/2006/relationships/hyperlink" Target="https://www.cac.gov.cn/2024-04/02/c_1713729983803145.htm" TargetMode="External"/><Relationship Id="rId78" Type="http://schemas.openxmlformats.org/officeDocument/2006/relationships/hyperlink" Target="https://www.cac.gov.cn/2026-05/08/c_1779979789523320.htm" TargetMode="External"/><Relationship Id="rId79" Type="http://schemas.openxmlformats.org/officeDocument/2006/relationships/hyperlink" Target="https://www.stats.gov.cn/sj/sjjd/202606/t20260603_1963868.html" TargetMode="External"/><Relationship Id="rId80" Type="http://schemas.openxmlformats.org/officeDocument/2006/relationships/hyperlink" Target="https://www.nda.gov.cn/sjj/zhuanti/sjzgzxd/szzgbg/0430/20260430104239061752429_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OS / ANC 演示证据报告</dc:title>
  <dc:subject>AI Agent 企业控制平面的市场、治理、安全、法规和产品证据</dc:subject>
  <dc:creator>Company OS Research</dc:creator>
  <cp:keywords>Company OS, ANC, AI agents, governance, identity, evidence, control plane</cp:keywords>
  <dc:description>Research snapshot as of 2026-09-04; verify dynamic web sources before external publication.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