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ScrubiMail Realtime Latency — Deep Dive &amp; Scaling</w:t>
      </w:r>
    </w:p>
    <w:p>
      <w:pPr>
        <w:spacing w:after="40"/>
      </w:pPr>
      <w:r>
        <w:rPr>
          <w:rFonts w:ascii="Calibri" w:cs="Calibri" w:eastAsia="Calibri" w:hAnsi="Calibri"/>
          <w:color w:val="595959"/>
          <w:sz w:val="21"/>
          <w:szCs w:val="21"/>
        </w:rPr>
        <w:t xml:space="preserve">Persist bottleneck analysis + async architecture + 5,000 MAU capacity plan</w:t>
      </w:r>
    </w:p>
    <w:p>
      <w:pPr>
        <w:pBdr>
          <w:bottom w:val="single" w:color="1F4E79" w:sz="8" w:space="4"/>
        </w:pBdr>
        <w:spacing w:after="200"/>
      </w:pPr>
      <w:r>
        <w:rPr>
          <w:rFonts w:ascii="Calibri" w:cs="Calibri" w:eastAsia="Calibri" w:hAnsi="Calibri"/>
          <w:color w:val="595959"/>
          <w:sz w:val="21"/>
          <w:szCs w:val="21"/>
        </w:rPr>
        <w:t xml:space="preserve">July 2026 · App + Postgres co-located on Hetzner · Primary load: realtime single checks</w:t>
      </w:r>
    </w:p>
    <w:p>
      <w:pPr>
        <w:pStyle w:val="Heading1"/>
        <w:spacing w:after="140" w:before="280"/>
      </w:pPr>
      <w:r>
        <w:rPr>
          <w:rFonts w:ascii="Calibri" w:cs="Calibri" w:eastAsia="Calibri" w:hAnsi="Calibri"/>
          <w:b/>
          <w:bCs/>
          <w:color w:val="1F4E79"/>
          <w:sz w:val="30"/>
          <w:szCs w:val="30"/>
        </w:rPr>
        <w:t xml:space="preserve">The Finding in One Line</w:t>
      </w:r>
    </w:p>
    <w:p>
      <w:pPr>
        <w:spacing w:after="120"/>
      </w:pPr>
      <w:r>
        <w:rPr>
          <w:rFonts w:ascii="Calibri" w:cs="Calibri" w:eastAsia="Calibri" w:hAnsi="Calibri"/>
          <w:sz w:val="22"/>
          <w:szCs w:val="22"/>
        </w:rPr>
        <w:t xml:space="preserve">Verification is fast (281ms) and competitive with ZeroBounce. The 3.89s total is a </w:t>
      </w:r>
      <w:r>
        <w:rPr>
          <w:rFonts w:ascii="Calibri" w:cs="Calibri" w:eastAsia="Calibri" w:hAnsi="Calibri"/>
          <w:b/>
          <w:bCs/>
          <w:sz w:val="22"/>
          <w:szCs w:val="22"/>
        </w:rPr>
        <w:t xml:space="preserve">persistence problem, not a verification problem</w:t>
      </w:r>
      <w:r>
        <w:rPr>
          <w:rFonts w:ascii="Calibri" w:cs="Calibri" w:eastAsia="Calibri" w:hAnsi="Calibri"/>
          <w:sz w:val="22"/>
          <w:szCs w:val="22"/>
        </w:rPr>
        <w:t xml:space="preserve">: 2.45s is spent writing to the database on the request path, and almost none of that work needs to block the response. Fixing it is mostly deletion and decoupling, not new infrastructure.</w:t>
      </w:r>
    </w:p>
    <w:p>
      <w:pPr>
        <w:spacing w:after="120"/>
      </w:pPr>
      <w:r>
        <w:rPr>
          <w:rFonts w:ascii="Calibri" w:cs="Calibri" w:eastAsia="Calibri" w:hAnsi="Calibri"/>
          <w:sz w:val="22"/>
          <w:szCs w:val="22"/>
        </w:rPr>
        <w:t xml:space="preserve">Latency budget today vs.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Stage</w:t>
            </w:r>
          </w:p>
        </w:tc>
        <w:tc>
          <w:tcPr>
            <w:tcW w:type="pct" w:w="2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Now</w:t>
            </w:r>
          </w:p>
        </w:tc>
        <w:tc>
          <w:tcPr>
            <w:tcW w:type="pct" w:w="22%"/>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After fixes</w:t>
            </w:r>
          </w:p>
        </w:tc>
        <w:tc>
          <w:tcPr>
            <w:tcW w:type="pct" w:w="24%"/>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Change</w:t>
            </w:r>
          </w:p>
        </w:tc>
      </w:tr>
      <w:tr>
        <w:trPr>
          <w:tblHeader w:val="false"/>
        </w:trPr>
        <w:tc>
          <w:tcPr>
            <w:tcW w:type="pct" w:w="34%"/>
            <w:tcMar>
              <w:top w:type="dxa" w:w="60"/>
              <w:left w:type="dxa" w:w="100"/>
              <w:bottom w:type="dxa" w:w="60"/>
              <w:right w:type="dxa" w:w="100"/>
            </w:tcMar>
          </w:tcPr>
          <w:p>
            <w:r>
              <w:rPr>
                <w:rFonts w:ascii="Calibri" w:cs="Calibri" w:eastAsia="Calibri" w:hAnsi="Calibri"/>
                <w:b w:val="false"/>
                <w:bCs w:val="false"/>
                <w:sz w:val="19"/>
                <w:szCs w:val="19"/>
              </w:rPr>
              <w:t xml:space="preserve">SMTP / verification</w:t>
            </w:r>
          </w:p>
        </w:tc>
        <w:tc>
          <w:tcPr>
            <w:tcW w:type="pct" w:w="20%"/>
            <w:tcMar>
              <w:top w:type="dxa" w:w="60"/>
              <w:left w:type="dxa" w:w="100"/>
              <w:bottom w:type="dxa" w:w="60"/>
              <w:right w:type="dxa" w:w="100"/>
            </w:tcMar>
          </w:tcPr>
          <w:p>
            <w:r>
              <w:rPr>
                <w:rFonts w:ascii="Calibri" w:cs="Calibri" w:eastAsia="Calibri" w:hAnsi="Calibri"/>
                <w:b w:val="false"/>
                <w:bCs w:val="false"/>
                <w:sz w:val="19"/>
                <w:szCs w:val="19"/>
              </w:rPr>
              <w:t xml:space="preserve">281 ms</w:t>
            </w:r>
          </w:p>
        </w:tc>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281 ms</w:t>
            </w:r>
          </w:p>
        </w:tc>
        <w:tc>
          <w:tcPr>
            <w:tcW w:type="pct" w:w="24%"/>
            <w:tcMar>
              <w:top w:type="dxa" w:w="60"/>
              <w:left w:type="dxa" w:w="100"/>
              <w:bottom w:type="dxa" w:w="60"/>
              <w:right w:type="dxa" w:w="100"/>
            </w:tcMar>
          </w:tcPr>
          <w:p>
            <w:r>
              <w:rPr>
                <w:rFonts w:ascii="Calibri" w:cs="Calibri" w:eastAsia="Calibri" w:hAnsi="Calibri"/>
                <w:b w:val="false"/>
                <w:bCs w:val="false"/>
                <w:sz w:val="19"/>
                <w:szCs w:val="19"/>
              </w:rPr>
              <w:t xml:space="preserve">unchanged (already good)</w:t>
            </w:r>
          </w:p>
        </w:tc>
      </w:tr>
      <w:tr>
        <w:trPr>
          <w:tblHeader w:val="false"/>
        </w:trPr>
        <w:tc>
          <w:tcPr>
            <w:tcW w:type="pct" w:w="34%"/>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Credit decrement (sync)</w:t>
            </w:r>
          </w:p>
        </w:tc>
        <w:tc>
          <w:tcPr>
            <w:tcW w:type="pct" w:w="20%"/>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in persist</w:t>
            </w:r>
          </w:p>
        </w:tc>
        <w:tc>
          <w:tcPr>
            <w:tcW w:type="pct" w:w="2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5–15 ms</w:t>
            </w:r>
          </w:p>
        </w:tc>
        <w:tc>
          <w:tcPr>
            <w:tcW w:type="pct" w:w="24%"/>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atomic, pooled, on-path</w:t>
            </w:r>
          </w:p>
        </w:tc>
      </w:tr>
      <w:tr>
        <w:trPr>
          <w:tblHeader w:val="false"/>
        </w:trPr>
        <w:tc>
          <w:tcPr>
            <w:tcW w:type="pct" w:w="34%"/>
            <w:tcMar>
              <w:top w:type="dxa" w:w="60"/>
              <w:left w:type="dxa" w:w="100"/>
              <w:bottom w:type="dxa" w:w="60"/>
              <w:right w:type="dxa" w:w="100"/>
            </w:tcMar>
          </w:tcPr>
          <w:p>
            <w:r>
              <w:rPr>
                <w:rFonts w:ascii="Calibri" w:cs="Calibri" w:eastAsia="Calibri" w:hAnsi="Calibri"/>
                <w:b w:val="false"/>
                <w:bCs w:val="false"/>
                <w:sz w:val="19"/>
                <w:szCs w:val="19"/>
              </w:rPr>
              <w:t xml:space="preserve">Record persist (3–4 writes)</w:t>
            </w:r>
          </w:p>
        </w:tc>
        <w:tc>
          <w:tcPr>
            <w:tcW w:type="pct" w:w="20%"/>
            <w:tcMar>
              <w:top w:type="dxa" w:w="60"/>
              <w:left w:type="dxa" w:w="100"/>
              <w:bottom w:type="dxa" w:w="60"/>
              <w:right w:type="dxa" w:w="100"/>
            </w:tcMar>
          </w:tcPr>
          <w:p>
            <w:r>
              <w:rPr>
                <w:rFonts w:ascii="Calibri" w:cs="Calibri" w:eastAsia="Calibri" w:hAnsi="Calibri"/>
                <w:b w:val="false"/>
                <w:bCs w:val="false"/>
                <w:sz w:val="19"/>
                <w:szCs w:val="19"/>
              </w:rPr>
              <w:t xml:space="preserve">2,450 ms</w:t>
            </w:r>
          </w:p>
        </w:tc>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~0 ms on path</w:t>
            </w:r>
          </w:p>
        </w:tc>
        <w:tc>
          <w:tcPr>
            <w:tcW w:type="pct" w:w="24%"/>
            <w:tcMar>
              <w:top w:type="dxa" w:w="60"/>
              <w:left w:type="dxa" w:w="100"/>
              <w:bottom w:type="dxa" w:w="60"/>
              <w:right w:type="dxa" w:w="100"/>
            </w:tcMar>
          </w:tcPr>
          <w:p>
            <w:r>
              <w:rPr>
                <w:rFonts w:ascii="Calibri" w:cs="Calibri" w:eastAsia="Calibri" w:hAnsi="Calibri"/>
                <w:b w:val="false"/>
                <w:bCs w:val="false"/>
                <w:sz w:val="19"/>
                <w:szCs w:val="19"/>
              </w:rPr>
              <w:t xml:space="preserve">moved async / fire-and-forget</w:t>
            </w:r>
          </w:p>
        </w:tc>
      </w:tr>
      <w:tr>
        <w:trPr>
          <w:tblHeader w:val="false"/>
        </w:trPr>
        <w:tc>
          <w:tcPr>
            <w:tcW w:type="pct" w:w="34%"/>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Other (syntax, DNS cached)</w:t>
            </w:r>
          </w:p>
        </w:tc>
        <w:tc>
          <w:tcPr>
            <w:tcW w:type="pct" w:w="20%"/>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~1,160 ms</w:t>
            </w:r>
          </w:p>
        </w:tc>
        <w:tc>
          <w:tcPr>
            <w:tcW w:type="pct" w:w="2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50–150 ms</w:t>
            </w:r>
          </w:p>
        </w:tc>
        <w:tc>
          <w:tcPr>
            <w:tcW w:type="pct" w:w="24%"/>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logging + pooling recovered</w:t>
            </w:r>
          </w:p>
        </w:tc>
      </w:tr>
      <w:tr>
        <w:trPr>
          <w:tblHeader w:val="false"/>
        </w:trPr>
        <w:tc>
          <w:tcPr>
            <w:tcW w:type="pct" w:w="34%"/>
            <w:tcMar>
              <w:top w:type="dxa" w:w="60"/>
              <w:left w:type="dxa" w:w="100"/>
              <w:bottom w:type="dxa" w:w="60"/>
              <w:right w:type="dxa" w:w="100"/>
            </w:tcMar>
          </w:tcPr>
          <w:p>
            <w:r>
              <w:rPr>
                <w:rFonts w:ascii="Calibri" w:cs="Calibri" w:eastAsia="Calibri" w:hAnsi="Calibri"/>
                <w:b w:val="false"/>
                <w:bCs w:val="false"/>
                <w:sz w:val="19"/>
                <w:szCs w:val="19"/>
              </w:rPr>
              <w:t xml:space="preserve">TOTAL (client-perceived)</w:t>
            </w:r>
          </w:p>
        </w:tc>
        <w:tc>
          <w:tcPr>
            <w:tcW w:type="pct" w:w="20%"/>
            <w:tcMar>
              <w:top w:type="dxa" w:w="60"/>
              <w:left w:type="dxa" w:w="100"/>
              <w:bottom w:type="dxa" w:w="60"/>
              <w:right w:type="dxa" w:w="100"/>
            </w:tcMar>
          </w:tcPr>
          <w:p>
            <w:r>
              <w:rPr>
                <w:rFonts w:ascii="Calibri" w:cs="Calibri" w:eastAsia="Calibri" w:hAnsi="Calibri"/>
                <w:b w:val="false"/>
                <w:bCs w:val="false"/>
                <w:sz w:val="19"/>
                <w:szCs w:val="19"/>
              </w:rPr>
              <w:t xml:space="preserve">3,890 ms</w:t>
            </w:r>
          </w:p>
        </w:tc>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300–450 ms</w:t>
            </w:r>
          </w:p>
        </w:tc>
        <w:tc>
          <w:tcPr>
            <w:tcW w:type="pct" w:w="24%"/>
            <w:tcMar>
              <w:top w:type="dxa" w:w="60"/>
              <w:left w:type="dxa" w:w="100"/>
              <w:bottom w:type="dxa" w:w="60"/>
              <w:right w:type="dxa" w:w="100"/>
            </w:tcMar>
          </w:tcPr>
          <w:p>
            <w:r>
              <w:rPr>
                <w:rFonts w:ascii="Calibri" w:cs="Calibri" w:eastAsia="Calibri" w:hAnsi="Calibri"/>
                <w:b w:val="false"/>
                <w:bCs w:val="false"/>
                <w:sz w:val="19"/>
                <w:szCs w:val="19"/>
              </w:rPr>
              <w:t xml:space="preserve">~9x faster</w:t>
            </w:r>
          </w:p>
        </w:tc>
      </w:tr>
    </w:tbl>
    <w:p>
      <w:pPr>
        <w:pStyle w:val="Heading1"/>
        <w:spacing w:after="140" w:before="280"/>
      </w:pPr>
      <w:r>
        <w:rPr>
          <w:rFonts w:ascii="Calibri" w:cs="Calibri" w:eastAsia="Calibri" w:hAnsi="Calibri"/>
          <w:b/>
          <w:bCs/>
          <w:color w:val="1F4E79"/>
          <w:sz w:val="30"/>
          <w:szCs w:val="30"/>
        </w:rPr>
        <w:t xml:space="preserve">Root Causes of the 2.45s Persist</w:t>
      </w:r>
    </w:p>
    <w:p>
      <w:pPr>
        <w:spacing w:after="120"/>
      </w:pPr>
      <w:r>
        <w:rPr>
          <w:rFonts w:ascii="Calibri" w:cs="Calibri" w:eastAsia="Calibri" w:hAnsi="Calibri"/>
          <w:sz w:val="22"/>
          <w:szCs w:val="22"/>
        </w:rPr>
        <w:t xml:space="preserve">This is over-determined — four independent problems stack on the same code path. Ranked by likely impact and cheapness to fix:</w:t>
      </w:r>
    </w:p>
    <w:p>
      <w:pPr>
        <w:pStyle w:val="Heading2"/>
        <w:spacing w:after="100" w:before="220"/>
      </w:pPr>
      <w:r>
        <w:rPr>
          <w:rFonts w:ascii="Calibri" w:cs="Calibri" w:eastAsia="Calibri" w:hAnsi="Calibri"/>
          <w:b/>
          <w:bCs/>
          <w:color w:val="1F4E79"/>
          <w:sz w:val="25"/>
          <w:szCs w:val="25"/>
        </w:rPr>
        <w:t xml:space="preserve">Cause 1 — print() inside the model save path (trivial fix, real cost)</w:t>
      </w:r>
    </w:p>
    <w:p>
      <w:pPr>
        <w:pStyle w:val="ListParagraph"/>
        <w:numPr>
          <w:ilvl w:val="0"/>
          <w:numId w:val="2"/>
        </w:numPr>
        <w:spacing w:after="80"/>
      </w:pPr>
      <w:r>
        <w:rPr>
          <w:rFonts w:ascii="Consolas" w:cs="Consolas" w:eastAsia="Consolas" w:hAnsi="Consolas"/>
          <w:sz w:val="20"/>
          <w:szCs w:val="20"/>
        </w:rPr>
        <w:t xml:space="preserve">Basemodel.save()</w:t>
      </w:r>
      <w:r>
        <w:rPr>
          <w:rFonts w:ascii="Calibri" w:cs="Calibri" w:eastAsia="Calibri" w:hAnsi="Calibri"/>
          <w:sz w:val="22"/>
          <w:szCs w:val="22"/>
        </w:rPr>
        <w:t xml:space="preserve"> runs </w:t>
      </w:r>
      <w:r>
        <w:rPr>
          <w:rFonts w:ascii="Consolas" w:cs="Consolas" w:eastAsia="Consolas" w:hAnsi="Consolas"/>
          <w:sz w:val="20"/>
          <w:szCs w:val="20"/>
        </w:rPr>
        <w:t xml:space="preserve">print("BaseModel save starting...")</w:t>
      </w:r>
      <w:r>
        <w:rPr>
          <w:rFonts w:ascii="Calibri" w:cs="Calibri" w:eastAsia="Calibri" w:hAnsi="Calibri"/>
          <w:sz w:val="22"/>
          <w:szCs w:val="22"/>
        </w:rPr>
        <w:t xml:space="preserve"> and </w:t>
      </w:r>
      <w:r>
        <w:rPr>
          <w:rFonts w:ascii="Consolas" w:cs="Consolas" w:eastAsia="Consolas" w:hAnsi="Consolas"/>
          <w:sz w:val="20"/>
          <w:szCs w:val="20"/>
        </w:rPr>
        <w:t xml:space="preserve">print("...completed")</w:t>
      </w:r>
      <w:r>
        <w:rPr>
          <w:rFonts w:ascii="Calibri" w:cs="Calibri" w:eastAsia="Calibri" w:hAnsi="Calibri"/>
          <w:sz w:val="22"/>
          <w:szCs w:val="22"/>
        </w:rPr>
        <w:t xml:space="preserve"> on </w:t>
      </w:r>
      <w:r>
        <w:rPr>
          <w:rFonts w:ascii="Calibri" w:cs="Calibri" w:eastAsia="Calibri" w:hAnsi="Calibri"/>
          <w:b/>
          <w:bCs/>
          <w:sz w:val="22"/>
          <w:szCs w:val="22"/>
        </w:rPr>
        <w:t xml:space="preserve">every single save</w:t>
      </w:r>
      <w:r>
        <w:rPr>
          <w:rFonts w:ascii="Calibri" w:cs="Calibri" w:eastAsia="Calibri" w:hAnsi="Calibri"/>
          <w:sz w:val="22"/>
          <w:szCs w:val="22"/>
        </w:rPr>
        <w:t xml:space="preserve">. The realtime path saves 3–4 times per request (EmailValidation + consume_credits' CreditTransaction + EmailValidationUsage), so that's 6–8 synchronous stdout writes per validation.</w:t>
      </w:r>
    </w:p>
    <w:p>
      <w:pPr>
        <w:pStyle w:val="ListParagraph"/>
        <w:numPr>
          <w:ilvl w:val="0"/>
          <w:numId w:val="2"/>
        </w:numPr>
        <w:spacing w:after="80"/>
      </w:pPr>
      <w:r>
        <w:rPr>
          <w:rFonts w:ascii="Calibri" w:cs="Calibri" w:eastAsia="Calibri" w:hAnsi="Calibri"/>
          <w:sz w:val="22"/>
          <w:szCs w:val="22"/>
        </w:rPr>
        <w:t xml:space="preserve">On a container with piped/unbuffered stdout, each </w:t>
      </w:r>
      <w:r>
        <w:rPr>
          <w:rFonts w:ascii="Consolas" w:cs="Consolas" w:eastAsia="Consolas" w:hAnsi="Consolas"/>
          <w:sz w:val="20"/>
          <w:szCs w:val="20"/>
        </w:rPr>
        <w:t xml:space="preserve">print</w:t>
      </w:r>
      <w:r>
        <w:rPr>
          <w:rFonts w:ascii="Calibri" w:cs="Calibri" w:eastAsia="Calibri" w:hAnsi="Calibri"/>
          <w:sz w:val="22"/>
          <w:szCs w:val="22"/>
        </w:rPr>
        <w:t xml:space="preserve"> can block on I/O for milliseconds to tens of ms. </w:t>
      </w:r>
      <w:r>
        <w:rPr>
          <w:rFonts w:ascii="Consolas" w:cs="Consolas" w:eastAsia="Consolas" w:hAnsi="Consolas"/>
          <w:sz w:val="20"/>
          <w:szCs w:val="20"/>
        </w:rPr>
        <w:t xml:space="preserve">settings.py</w:t>
      </w:r>
      <w:r>
        <w:rPr>
          <w:rFonts w:ascii="Calibri" w:cs="Calibri" w:eastAsia="Calibri" w:hAnsi="Calibri"/>
          <w:sz w:val="22"/>
          <w:szCs w:val="22"/>
        </w:rPr>
        <w:t xml:space="preserve"> is also full of import-time </w:t>
      </w:r>
      <w:r>
        <w:rPr>
          <w:rFonts w:ascii="Consolas" w:cs="Consolas" w:eastAsia="Consolas" w:hAnsi="Consolas"/>
          <w:sz w:val="20"/>
          <w:szCs w:val="20"/>
        </w:rPr>
        <w:t xml:space="preserve">print()</w:t>
      </w:r>
      <w:r>
        <w:rPr>
          <w:rFonts w:ascii="Calibri" w:cs="Calibri" w:eastAsia="Calibri" w:hAnsi="Calibri"/>
          <w:sz w:val="22"/>
          <w:szCs w:val="22"/>
        </w:rPr>
        <w:t xml:space="preserve"> calls. Remove them all; use the logger at DEBUG if needed. </w:t>
      </w:r>
      <w:r>
        <w:rPr>
          <w:rFonts w:ascii="Calibri" w:cs="Calibri" w:eastAsia="Calibri" w:hAnsi="Calibri"/>
          <w:b/>
          <w:bCs/>
          <w:color w:val="1E6B34"/>
          <w:sz w:val="22"/>
          <w:szCs w:val="22"/>
        </w:rPr>
        <w:t xml:space="preserve">Zero-risk, do it first.</w:t>
      </w:r>
    </w:p>
    <w:p>
      <w:pPr>
        <w:pStyle w:val="Heading2"/>
        <w:spacing w:after="100" w:before="220"/>
      </w:pPr>
      <w:r>
        <w:rPr>
          <w:rFonts w:ascii="Calibri" w:cs="Calibri" w:eastAsia="Calibri" w:hAnsi="Calibri"/>
          <w:b/>
          <w:bCs/>
          <w:color w:val="1F4E79"/>
          <w:sz w:val="25"/>
          <w:szCs w:val="25"/>
        </w:rPr>
        <w:t xml:space="preserve">Cause 2 — No connection pooling on the Hetzner path</w:t>
      </w:r>
    </w:p>
    <w:p>
      <w:pPr>
        <w:pStyle w:val="ListParagraph"/>
        <w:numPr>
          <w:ilvl w:val="0"/>
          <w:numId w:val="2"/>
        </w:numPr>
        <w:spacing w:after="80"/>
      </w:pPr>
      <w:r>
        <w:rPr>
          <w:rFonts w:ascii="Calibri" w:cs="Calibri" w:eastAsia="Calibri" w:hAnsi="Calibri"/>
          <w:sz w:val="22"/>
          <w:szCs w:val="22"/>
        </w:rPr>
        <w:t xml:space="preserve">The Heroku branch sets </w:t>
      </w:r>
      <w:r>
        <w:rPr>
          <w:rFonts w:ascii="Consolas" w:cs="Consolas" w:eastAsia="Consolas" w:hAnsi="Consolas"/>
          <w:sz w:val="20"/>
          <w:szCs w:val="20"/>
        </w:rPr>
        <w:t xml:space="preserve">conn_max_age=600</w:t>
      </w:r>
      <w:r>
        <w:rPr>
          <w:rFonts w:ascii="Calibri" w:cs="Calibri" w:eastAsia="Calibri" w:hAnsi="Calibri"/>
          <w:sz w:val="22"/>
          <w:szCs w:val="22"/>
        </w:rPr>
        <w:t xml:space="preserve">, but the co-located </w:t>
      </w:r>
      <w:r>
        <w:rPr>
          <w:rFonts w:ascii="Consolas" w:cs="Consolas" w:eastAsia="Consolas" w:hAnsi="Consolas"/>
          <w:sz w:val="20"/>
          <w:szCs w:val="20"/>
        </w:rPr>
        <w:t xml:space="preserve">DATABASES</w:t>
      </w:r>
      <w:r>
        <w:rPr>
          <w:rFonts w:ascii="Calibri" w:cs="Calibri" w:eastAsia="Calibri" w:hAnsi="Calibri"/>
          <w:sz w:val="22"/>
          <w:szCs w:val="22"/>
        </w:rPr>
        <w:t xml:space="preserve"> block has </w:t>
      </w:r>
      <w:r>
        <w:rPr>
          <w:rFonts w:ascii="Calibri" w:cs="Calibri" w:eastAsia="Calibri" w:hAnsi="Calibri"/>
          <w:b/>
          <w:bCs/>
          <w:sz w:val="22"/>
          <w:szCs w:val="22"/>
        </w:rPr>
        <w:t xml:space="preserve">no CONN_MAX_AGE</w:t>
      </w:r>
      <w:r>
        <w:rPr>
          <w:rFonts w:ascii="Calibri" w:cs="Calibri" w:eastAsia="Calibri" w:hAnsi="Calibri"/>
          <w:sz w:val="22"/>
          <w:szCs w:val="22"/>
        </w:rPr>
        <w:t xml:space="preserve">, so Django opens and tears down a fresh Postgres connection every request. Cold connect (TCP + auth) is tens of ms and is charged to the first query — it reads as "slow persist."</w:t>
      </w:r>
    </w:p>
    <w:p>
      <w:pPr>
        <w:pStyle w:val="ListParagraph"/>
        <w:numPr>
          <w:ilvl w:val="0"/>
          <w:numId w:val="2"/>
        </w:numPr>
        <w:spacing w:after="80"/>
      </w:pPr>
      <w:r>
        <w:rPr>
          <w:rFonts w:ascii="Calibri" w:cs="Calibri" w:eastAsia="Calibri" w:hAnsi="Calibri"/>
          <w:sz w:val="22"/>
          <w:szCs w:val="22"/>
        </w:rPr>
        <w:t xml:space="preserve">Set </w:t>
      </w:r>
      <w:r>
        <w:rPr>
          <w:rFonts w:ascii="Consolas" w:cs="Consolas" w:eastAsia="Consolas" w:hAnsi="Consolas"/>
          <w:sz w:val="20"/>
          <w:szCs w:val="20"/>
        </w:rPr>
        <w:t xml:space="preserve">CONN_MAX_AGE</w:t>
      </w:r>
      <w:r>
        <w:rPr>
          <w:rFonts w:ascii="Calibri" w:cs="Calibri" w:eastAsia="Calibri" w:hAnsi="Calibri"/>
          <w:sz w:val="22"/>
          <w:szCs w:val="22"/>
        </w:rPr>
        <w:t xml:space="preserve"> (e.g. 60–600s) or, better, put PgBouncer in front in transaction-pooling mode. Co-located DB means the network hop is ~0, so persistent connections recover most of this instantly.</w:t>
      </w:r>
    </w:p>
    <w:p>
      <w:pPr>
        <w:pStyle w:val="Heading2"/>
        <w:spacing w:after="100" w:before="220"/>
      </w:pPr>
      <w:r>
        <w:rPr>
          <w:rFonts w:ascii="Calibri" w:cs="Calibri" w:eastAsia="Calibri" w:hAnsi="Calibri"/>
          <w:b/>
          <w:bCs/>
          <w:color w:val="1F4E79"/>
          <w:sz w:val="25"/>
          <w:szCs w:val="25"/>
        </w:rPr>
        <w:t xml:space="preserve">Cause 3 — Four sequential writes, each its own autocommit round-trip</w:t>
      </w:r>
    </w:p>
    <w:p>
      <w:pPr>
        <w:pStyle w:val="ListParagraph"/>
        <w:numPr>
          <w:ilvl w:val="0"/>
          <w:numId w:val="2"/>
        </w:numPr>
        <w:spacing w:after="80"/>
      </w:pPr>
      <w:r>
        <w:rPr>
          <w:rFonts w:ascii="Calibri" w:cs="Calibri" w:eastAsia="Calibri" w:hAnsi="Calibri"/>
          <w:sz w:val="22"/>
          <w:szCs w:val="22"/>
        </w:rPr>
        <w:t xml:space="preserve">The path runs </w:t>
      </w:r>
      <w:r>
        <w:rPr>
          <w:rFonts w:ascii="Consolas" w:cs="Consolas" w:eastAsia="Consolas" w:hAnsi="Consolas"/>
          <w:sz w:val="20"/>
          <w:szCs w:val="20"/>
        </w:rPr>
        <w:t xml:space="preserve">EmailValidation.create()</w:t>
      </w:r>
      <w:r>
        <w:rPr>
          <w:rFonts w:ascii="Calibri" w:cs="Calibri" w:eastAsia="Calibri" w:hAnsi="Calibri"/>
          <w:sz w:val="22"/>
          <w:szCs w:val="22"/>
        </w:rPr>
        <w:t xml:space="preserve"> → </w:t>
      </w:r>
      <w:r>
        <w:rPr>
          <w:rFonts w:ascii="Consolas" w:cs="Consolas" w:eastAsia="Consolas" w:hAnsi="Consolas"/>
          <w:sz w:val="20"/>
          <w:szCs w:val="20"/>
        </w:rPr>
        <w:t xml:space="preserve">consume_credits()</w:t>
      </w:r>
      <w:r>
        <w:rPr>
          <w:rFonts w:ascii="Calibri" w:cs="Calibri" w:eastAsia="Calibri" w:hAnsi="Calibri"/>
          <w:sz w:val="22"/>
          <w:szCs w:val="22"/>
        </w:rPr>
        <w:t xml:space="preserve"> (a read + a save + </w:t>
      </w:r>
      <w:r>
        <w:rPr>
          <w:rFonts w:ascii="Consolas" w:cs="Consolas" w:eastAsia="Consolas" w:hAnsi="Consolas"/>
          <w:sz w:val="20"/>
          <w:szCs w:val="20"/>
        </w:rPr>
        <w:t xml:space="preserve">CreditTransaction.create()</w:t>
      </w:r>
      <w:r>
        <w:rPr>
          <w:rFonts w:ascii="Calibri" w:cs="Calibri" w:eastAsia="Calibri" w:hAnsi="Calibri"/>
          <w:sz w:val="22"/>
          <w:szCs w:val="22"/>
        </w:rPr>
        <w:t xml:space="preserve">) → </w:t>
      </w:r>
      <w:r>
        <w:rPr>
          <w:rFonts w:ascii="Consolas" w:cs="Consolas" w:eastAsia="Consolas" w:hAnsi="Consolas"/>
          <w:sz w:val="20"/>
          <w:szCs w:val="20"/>
        </w:rPr>
        <w:t xml:space="preserve">EmailValidationUsage.create()</w:t>
      </w:r>
      <w:r>
        <w:rPr>
          <w:rFonts w:ascii="Calibri" w:cs="Calibri" w:eastAsia="Calibri" w:hAnsi="Calibri"/>
          <w:sz w:val="22"/>
          <w:szCs w:val="22"/>
        </w:rPr>
        <w:t xml:space="preserve">. Four INSERTs and a read, unbatched, each paying full round-trip and transaction overhead.</w:t>
      </w:r>
    </w:p>
    <w:p>
      <w:pPr>
        <w:pStyle w:val="ListParagraph"/>
        <w:numPr>
          <w:ilvl w:val="0"/>
          <w:numId w:val="2"/>
        </w:numPr>
        <w:spacing w:after="80"/>
      </w:pPr>
      <w:r>
        <w:rPr>
          <w:rFonts w:ascii="Calibri" w:cs="Calibri" w:eastAsia="Calibri" w:hAnsi="Calibri"/>
          <w:sz w:val="22"/>
          <w:szCs w:val="22"/>
        </w:rPr>
        <w:t xml:space="preserve">Only the credit decrement must be synchronous (money). The other writes can be batched into one transaction or moved off-path entirely (Cause 4 / async section).</w:t>
      </w:r>
    </w:p>
    <w:p>
      <w:pPr>
        <w:pStyle w:val="Heading2"/>
        <w:spacing w:after="100" w:before="220"/>
      </w:pPr>
      <w:r>
        <w:rPr>
          <w:rFonts w:ascii="Calibri" w:cs="Calibri" w:eastAsia="Calibri" w:hAnsi="Calibri"/>
          <w:b/>
          <w:bCs/>
          <w:color w:val="1F4E79"/>
          <w:sz w:val="25"/>
          <w:szCs w:val="25"/>
        </w:rPr>
        <w:t xml:space="preserve">Cause 4 — Large JSONB blobs written inline on the hot path</w:t>
      </w:r>
    </w:p>
    <w:p>
      <w:pPr>
        <w:pStyle w:val="ListParagraph"/>
        <w:numPr>
          <w:ilvl w:val="0"/>
          <w:numId w:val="2"/>
        </w:numPr>
        <w:spacing w:after="80"/>
      </w:pPr>
      <w:r>
        <w:rPr>
          <w:rFonts w:ascii="Calibri" w:cs="Calibri" w:eastAsia="Calibri" w:hAnsi="Calibri"/>
          <w:sz w:val="22"/>
          <w:szCs w:val="22"/>
        </w:rPr>
        <w:t xml:space="preserve">The full nested </w:t>
      </w:r>
      <w:r>
        <w:rPr>
          <w:rFonts w:ascii="Consolas" w:cs="Consolas" w:eastAsia="Consolas" w:hAnsi="Consolas"/>
          <w:sz w:val="20"/>
          <w:szCs w:val="20"/>
        </w:rPr>
        <w:t xml:space="preserve">breakdown</w:t>
      </w:r>
      <w:r>
        <w:rPr>
          <w:rFonts w:ascii="Calibri" w:cs="Calibri" w:eastAsia="Calibri" w:hAnsi="Calibri"/>
          <w:sz w:val="22"/>
          <w:szCs w:val="22"/>
        </w:rPr>
        <w:t xml:space="preserve"> and </w:t>
      </w:r>
      <w:r>
        <w:rPr>
          <w:rFonts w:ascii="Consolas" w:cs="Consolas" w:eastAsia="Consolas" w:hAnsi="Consolas"/>
          <w:sz w:val="20"/>
          <w:szCs w:val="20"/>
        </w:rPr>
        <w:t xml:space="preserve">metadata</w:t>
      </w:r>
      <w:r>
        <w:rPr>
          <w:rFonts w:ascii="Calibri" w:cs="Calibri" w:eastAsia="Calibri" w:hAnsi="Calibri"/>
          <w:sz w:val="22"/>
          <w:szCs w:val="22"/>
        </w:rPr>
        <w:t xml:space="preserve"> JSON are serialized and written inline. Minor next to the above, but deferring them to the async writer removes serialization cost from the response path for free.</w:t>
      </w:r>
    </w:p>
    <w:p>
      <w:pPr>
        <w:pStyle w:val="Heading1"/>
        <w:spacing w:after="140" w:before="280"/>
      </w:pPr>
      <w:r>
        <w:rPr>
          <w:rFonts w:ascii="Calibri" w:cs="Calibri" w:eastAsia="Calibri" w:hAnsi="Calibri"/>
          <w:b/>
          <w:bCs/>
          <w:color w:val="1F4E79"/>
          <w:sz w:val="30"/>
          <w:szCs w:val="30"/>
        </w:rPr>
        <w:t xml:space="preserve">"If we fire-and-forget, how do we keep analytics accurate?"</w:t>
      </w:r>
    </w:p>
    <w:p>
      <w:pPr>
        <w:spacing w:after="120"/>
      </w:pPr>
      <w:r>
        <w:rPr>
          <w:rFonts w:ascii="Calibri" w:cs="Calibri" w:eastAsia="Calibri" w:hAnsi="Calibri"/>
          <w:b/>
          <w:bCs/>
          <w:sz w:val="22"/>
          <w:szCs w:val="22"/>
        </w:rPr>
        <w:t xml:space="preserve">Fire-and-forget decouples the write from the response — it does not drop the data. </w:t>
      </w:r>
      <w:r>
        <w:rPr>
          <w:rFonts w:ascii="Calibri" w:cs="Calibri" w:eastAsia="Calibri" w:hAnsi="Calibri"/>
          <w:sz w:val="22"/>
          <w:szCs w:val="22"/>
        </w:rPr>
        <w:t xml:space="preserve">Every validation still becomes a row; the user just stops waiting for it.</w:t>
      </w:r>
    </w:p>
    <w:p>
      <w:pPr>
        <w:pStyle w:val="ListParagraph"/>
        <w:numPr>
          <w:ilvl w:val="0"/>
          <w:numId w:val="3"/>
        </w:numPr>
        <w:spacing w:after="80"/>
      </w:pPr>
      <w:r>
        <w:rPr>
          <w:rFonts w:ascii="Calibri" w:cs="Calibri" w:eastAsia="Calibri" w:hAnsi="Calibri"/>
          <w:sz w:val="22"/>
          <w:szCs w:val="22"/>
        </w:rPr>
        <w:t xml:space="preserve">Verify (281ms) and build the result.</w:t>
      </w:r>
    </w:p>
    <w:p>
      <w:pPr>
        <w:pStyle w:val="ListParagraph"/>
        <w:numPr>
          <w:ilvl w:val="0"/>
          <w:numId w:val="3"/>
        </w:numPr>
        <w:spacing w:after="80"/>
      </w:pPr>
      <w:r>
        <w:rPr>
          <w:rFonts w:ascii="Calibri" w:cs="Calibri" w:eastAsia="Calibri" w:hAnsi="Calibri"/>
          <w:sz w:val="22"/>
          <w:szCs w:val="22"/>
        </w:rPr>
        <w:t xml:space="preserve">Decrement credits </w:t>
      </w:r>
      <w:r>
        <w:rPr>
          <w:rFonts w:ascii="Calibri" w:cs="Calibri" w:eastAsia="Calibri" w:hAnsi="Calibri"/>
          <w:b/>
          <w:bCs/>
          <w:sz w:val="22"/>
          <w:szCs w:val="22"/>
        </w:rPr>
        <w:t xml:space="preserve">synchronously</w:t>
      </w:r>
      <w:r>
        <w:rPr>
          <w:rFonts w:ascii="Calibri" w:cs="Calibri" w:eastAsia="Calibri" w:hAnsi="Calibri"/>
          <w:sz w:val="22"/>
          <w:szCs w:val="22"/>
        </w:rPr>
        <w:t xml:space="preserve"> (atomic, ~5–15ms) — this is the only thing that must gate the response, because money must be exact.</w:t>
      </w:r>
    </w:p>
    <w:p>
      <w:pPr>
        <w:pStyle w:val="ListParagraph"/>
        <w:numPr>
          <w:ilvl w:val="0"/>
          <w:numId w:val="3"/>
        </w:numPr>
        <w:spacing w:after="80"/>
      </w:pPr>
      <w:r>
        <w:rPr>
          <w:rFonts w:ascii="Calibri" w:cs="Calibri" w:eastAsia="Calibri" w:hAnsi="Calibri"/>
          <w:sz w:val="22"/>
          <w:szCs w:val="22"/>
        </w:rPr>
        <w:t xml:space="preserve">Enqueue the record-write (EmailValidation + Usage + stats) to a background worker — ~1ms to enqueue.</w:t>
      </w:r>
    </w:p>
    <w:p>
      <w:pPr>
        <w:pStyle w:val="ListParagraph"/>
        <w:numPr>
          <w:ilvl w:val="0"/>
          <w:numId w:val="3"/>
        </w:numPr>
        <w:spacing w:after="80"/>
      </w:pPr>
      <w:r>
        <w:rPr>
          <w:rFonts w:ascii="Calibri" w:cs="Calibri" w:eastAsia="Calibri" w:hAnsi="Calibri"/>
          <w:sz w:val="22"/>
          <w:szCs w:val="22"/>
        </w:rPr>
        <w:t xml:space="preserve">Return the full result to the client immediately (~300–400ms total).</w:t>
      </w:r>
    </w:p>
    <w:p>
      <w:pPr>
        <w:pStyle w:val="ListParagraph"/>
        <w:numPr>
          <w:ilvl w:val="0"/>
          <w:numId w:val="3"/>
        </w:numPr>
        <w:spacing w:after="80"/>
      </w:pPr>
      <w:r>
        <w:rPr>
          <w:rFonts w:ascii="Calibri" w:cs="Calibri" w:eastAsia="Calibri" w:hAnsi="Calibri"/>
          <w:sz w:val="22"/>
          <w:szCs w:val="22"/>
        </w:rPr>
        <w:t xml:space="preserve">The worker writes the rows a few hundred ms later, out of band.</w:t>
      </w:r>
    </w:p>
    <w:p>
      <w:pPr>
        <w:spacing w:after="120"/>
      </w:pPr>
      <w:r>
        <w:rPr>
          <w:rFonts w:ascii="Calibri" w:cs="Calibri" w:eastAsia="Calibri" w:hAnsi="Calibri"/>
          <w:b/>
          <w:bCs/>
          <w:sz w:val="22"/>
          <w:szCs w:val="22"/>
        </w:rPr>
        <w:t xml:space="preserve">Analytics stay 100% complete. </w:t>
      </w:r>
      <w:r>
        <w:rPr>
          <w:rFonts w:ascii="Calibri" w:cs="Calibri" w:eastAsia="Calibri" w:hAnsi="Calibri"/>
          <w:sz w:val="22"/>
          <w:szCs w:val="22"/>
        </w:rPr>
        <w:t xml:space="preserve">Dashboards and history pages read rows that are milliseconds old — indistinguishable from synchronous writes. The client already received the verdict in the response body, so nothing user-facing depends on the row existing yet. The credit balance shown to the user is always exact because that write is synchronous.</w:t>
      </w:r>
    </w:p>
    <w:p>
      <w:pPr>
        <w:spacing w:after="120"/>
      </w:pPr>
      <w:r>
        <w:rPr>
          <w:rFonts w:ascii="Calibri" w:cs="Calibri" w:eastAsia="Calibri" w:hAnsi="Calibri"/>
          <w:b/>
          <w:bCs/>
          <w:sz w:val="22"/>
          <w:szCs w:val="22"/>
        </w:rPr>
        <w:t xml:space="preserve">The one rule: </w:t>
      </w:r>
      <w:r>
        <w:rPr>
          <w:rFonts w:ascii="Calibri" w:cs="Calibri" w:eastAsia="Calibri" w:hAnsi="Calibri"/>
          <w:sz w:val="22"/>
          <w:szCs w:val="22"/>
        </w:rPr>
        <w:t xml:space="preserve">never make credit consumption async. If the spend lags behind the response, a user can out-run the writes and overspend. Money on-path, records off-path.</w:t>
      </w:r>
    </w:p>
    <w:p>
      <w:pPr>
        <w:pStyle w:val="Heading1"/>
        <w:spacing w:after="140" w:before="280"/>
      </w:pPr>
      <w:r>
        <w:rPr>
          <w:rFonts w:ascii="Calibri" w:cs="Calibri" w:eastAsia="Calibri" w:hAnsi="Calibri"/>
          <w:b/>
          <w:bCs/>
          <w:color w:val="1F4E79"/>
          <w:sz w:val="30"/>
          <w:szCs w:val="30"/>
        </w:rPr>
        <w:t xml:space="preserve">Recommended Architecture (realtime single-check)</w:t>
      </w:r>
    </w:p>
    <w:p>
      <w:pPr>
        <w:pStyle w:val="Heading2"/>
        <w:spacing w:after="100" w:before="220"/>
      </w:pPr>
      <w:r>
        <w:rPr>
          <w:rFonts w:ascii="Calibri" w:cs="Calibri" w:eastAsia="Calibri" w:hAnsi="Calibri"/>
          <w:b/>
          <w:bCs/>
          <w:color w:val="1F4E79"/>
          <w:sz w:val="25"/>
          <w:szCs w:val="25"/>
        </w:rPr>
        <w:t xml:space="preserve">On the request path (synchronous, must be fast)</w:t>
      </w:r>
    </w:p>
    <w:p>
      <w:pPr>
        <w:pStyle w:val="ListParagraph"/>
        <w:numPr>
          <w:ilvl w:val="0"/>
          <w:numId w:val="2"/>
        </w:numPr>
        <w:spacing w:after="80"/>
      </w:pPr>
      <w:r>
        <w:rPr>
          <w:rFonts w:ascii="Calibri" w:cs="Calibri" w:eastAsia="Calibri" w:hAnsi="Calibri"/>
          <w:sz w:val="22"/>
          <w:szCs w:val="22"/>
        </w:rPr>
        <w:t xml:space="preserve">Result-cache lookup (Redis) → verify if miss → atomic credit decrement (</w:t>
      </w:r>
      <w:r>
        <w:rPr>
          <w:rFonts w:ascii="Consolas" w:cs="Consolas" w:eastAsia="Consolas" w:hAnsi="Consolas"/>
          <w:sz w:val="20"/>
          <w:szCs w:val="20"/>
        </w:rPr>
        <w:t xml:space="preserve">UPDATE ... WHERE credits_remaining &gt;= 1</w:t>
      </w:r>
      <w:r>
        <w:rPr>
          <w:rFonts w:ascii="Calibri" w:cs="Calibri" w:eastAsia="Calibri" w:hAnsi="Calibri"/>
          <w:sz w:val="22"/>
          <w:szCs w:val="22"/>
        </w:rPr>
        <w:t xml:space="preserve">, single indexed statement in a transaction) → return result.</w:t>
      </w:r>
    </w:p>
    <w:p>
      <w:pPr>
        <w:pStyle w:val="Heading2"/>
        <w:spacing w:after="100" w:before="220"/>
      </w:pPr>
      <w:r>
        <w:rPr>
          <w:rFonts w:ascii="Calibri" w:cs="Calibri" w:eastAsia="Calibri" w:hAnsi="Calibri"/>
          <w:b/>
          <w:bCs/>
          <w:color w:val="1F4E79"/>
          <w:sz w:val="25"/>
          <w:szCs w:val="25"/>
        </w:rPr>
        <w:t xml:space="preserve">Off the request path (async, fire-and-forget)</w:t>
      </w:r>
    </w:p>
    <w:p>
      <w:pPr>
        <w:pStyle w:val="ListParagraph"/>
        <w:numPr>
          <w:ilvl w:val="0"/>
          <w:numId w:val="2"/>
        </w:numPr>
        <w:spacing w:after="80"/>
      </w:pPr>
      <w:r>
        <w:rPr>
          <w:rFonts w:ascii="Calibri" w:cs="Calibri" w:eastAsia="Calibri" w:hAnsi="Calibri"/>
          <w:sz w:val="22"/>
          <w:szCs w:val="22"/>
        </w:rPr>
        <w:t xml:space="preserve">A Celery task (queue you already run for bulk) writes </w:t>
      </w:r>
      <w:r>
        <w:rPr>
          <w:rFonts w:ascii="Consolas" w:cs="Consolas" w:eastAsia="Consolas" w:hAnsi="Consolas"/>
          <w:sz w:val="20"/>
          <w:szCs w:val="20"/>
        </w:rPr>
        <w:t xml:space="preserve">EmailValidation</w:t>
      </w:r>
      <w:r>
        <w:rPr>
          <w:rFonts w:ascii="Calibri" w:cs="Calibri" w:eastAsia="Calibri" w:hAnsi="Calibri"/>
          <w:sz w:val="22"/>
          <w:szCs w:val="22"/>
        </w:rPr>
        <w:t xml:space="preserve">, </w:t>
      </w:r>
      <w:r>
        <w:rPr>
          <w:rFonts w:ascii="Consolas" w:cs="Consolas" w:eastAsia="Consolas" w:hAnsi="Consolas"/>
          <w:sz w:val="20"/>
          <w:szCs w:val="20"/>
        </w:rPr>
        <w:t xml:space="preserve">EmailValidationUsage</w:t>
      </w:r>
      <w:r>
        <w:rPr>
          <w:rFonts w:ascii="Calibri" w:cs="Calibri" w:eastAsia="Calibri" w:hAnsi="Calibri"/>
          <w:sz w:val="22"/>
          <w:szCs w:val="22"/>
        </w:rPr>
        <w:t xml:space="preserve">, and updates </w:t>
      </w:r>
      <w:r>
        <w:rPr>
          <w:rFonts w:ascii="Consolas" w:cs="Consolas" w:eastAsia="Consolas" w:hAnsi="Consolas"/>
          <w:sz w:val="20"/>
          <w:szCs w:val="20"/>
        </w:rPr>
        <w:t xml:space="preserve">ValidationStats</w:t>
      </w:r>
      <w:r>
        <w:rPr>
          <w:rFonts w:ascii="Calibri" w:cs="Calibri" w:eastAsia="Calibri" w:hAnsi="Calibri"/>
          <w:sz w:val="22"/>
          <w:szCs w:val="22"/>
        </w:rPr>
        <w:t xml:space="preserve"> — ideally batched in one </w:t>
      </w:r>
      <w:r>
        <w:rPr>
          <w:rFonts w:ascii="Consolas" w:cs="Consolas" w:eastAsia="Consolas" w:hAnsi="Consolas"/>
          <w:sz w:val="20"/>
          <w:szCs w:val="20"/>
        </w:rPr>
        <w:t xml:space="preserve">transaction.atomic()</w:t>
      </w:r>
      <w:r>
        <w:rPr>
          <w:rFonts w:ascii="Calibri" w:cs="Calibri" w:eastAsia="Calibri" w:hAnsi="Calibri"/>
          <w:sz w:val="22"/>
          <w:szCs w:val="22"/>
        </w:rPr>
        <w:t xml:space="preserve">. Also write the result to the Redis result-cache here so repeat lookups are instant.</w:t>
      </w:r>
    </w:p>
    <w:p>
      <w:pPr>
        <w:pStyle w:val="ListParagraph"/>
        <w:numPr>
          <w:ilvl w:val="0"/>
          <w:numId w:val="2"/>
        </w:numPr>
        <w:spacing w:after="80"/>
      </w:pPr>
      <w:r>
        <w:rPr>
          <w:rFonts w:ascii="Calibri" w:cs="Calibri" w:eastAsia="Calibri" w:hAnsi="Calibri"/>
          <w:sz w:val="22"/>
          <w:szCs w:val="22"/>
        </w:rPr>
        <w:t xml:space="preserve">Durability guard: if losing an occasional analytics row on a hard crash is unacceptable, use a lightweight durable queue (Redis with acks, or Postgres </w:t>
      </w:r>
      <w:r>
        <w:rPr>
          <w:rFonts w:ascii="Consolas" w:cs="Consolas" w:eastAsia="Consolas" w:hAnsi="Consolas"/>
          <w:sz w:val="20"/>
          <w:szCs w:val="20"/>
        </w:rPr>
        <w:t xml:space="preserve">UNLOGGED</w:t>
      </w:r>
      <w:r>
        <w:rPr>
          <w:rFonts w:ascii="Calibri" w:cs="Calibri" w:eastAsia="Calibri" w:hAnsi="Calibri"/>
          <w:sz w:val="22"/>
          <w:szCs w:val="22"/>
        </w:rPr>
        <w:t xml:space="preserve"> staging table drained by the worker) rather than an in-process thread. For a records/analytics write, at-least-once is plenty.</w:t>
      </w:r>
    </w:p>
    <w:p>
      <w:pPr>
        <w:pStyle w:val="Heading2"/>
        <w:spacing w:after="100" w:before="220"/>
      </w:pPr>
      <w:r>
        <w:rPr>
          <w:rFonts w:ascii="Calibri" w:cs="Calibri" w:eastAsia="Calibri" w:hAnsi="Calibri"/>
          <w:b/>
          <w:bCs/>
          <w:color w:val="1F4E79"/>
          <w:sz w:val="25"/>
          <w:szCs w:val="25"/>
        </w:rPr>
        <w:t xml:space="preserve">Synchronous-fast fallback (if you don't want async yet)</w:t>
      </w:r>
    </w:p>
    <w:p>
      <w:pPr>
        <w:pStyle w:val="ListParagraph"/>
        <w:numPr>
          <w:ilvl w:val="0"/>
          <w:numId w:val="2"/>
        </w:numPr>
        <w:spacing w:after="80"/>
      </w:pPr>
      <w:r>
        <w:rPr>
          <w:rFonts w:ascii="Calibri" w:cs="Calibri" w:eastAsia="Calibri" w:hAnsi="Calibri"/>
          <w:sz w:val="22"/>
          <w:szCs w:val="22"/>
        </w:rPr>
        <w:t xml:space="preserve">Even without a queue, doing Causes 1–3 (kill </w:t>
      </w:r>
      <w:r>
        <w:rPr>
          <w:rFonts w:ascii="Consolas" w:cs="Consolas" w:eastAsia="Consolas" w:hAnsi="Consolas"/>
          <w:sz w:val="20"/>
          <w:szCs w:val="20"/>
        </w:rPr>
        <w:t xml:space="preserve">print</w:t>
      </w:r>
      <w:r>
        <w:rPr>
          <w:rFonts w:ascii="Calibri" w:cs="Calibri" w:eastAsia="Calibri" w:hAnsi="Calibri"/>
          <w:sz w:val="22"/>
          <w:szCs w:val="22"/>
        </w:rPr>
        <w:t xml:space="preserve">, add pooling, collapse the 3 non-credit writes into one </w:t>
      </w:r>
      <w:r>
        <w:rPr>
          <w:rFonts w:ascii="Consolas" w:cs="Consolas" w:eastAsia="Consolas" w:hAnsi="Consolas"/>
          <w:sz w:val="20"/>
          <w:szCs w:val="20"/>
        </w:rPr>
        <w:t xml:space="preserve">bulk_create</w:t>
      </w:r>
      <w:r>
        <w:rPr>
          <w:rFonts w:ascii="Calibri" w:cs="Calibri" w:eastAsia="Calibri" w:hAnsi="Calibri"/>
          <w:sz w:val="22"/>
          <w:szCs w:val="22"/>
        </w:rPr>
        <w:t xml:space="preserve"> / single transaction) should bring synchronous persist from 2,450ms to roughly 300–400ms. That alone gets total under ~700ms — a 5–6x win with no new moving parts. Async is the further step for headroom at scale.</w:t>
      </w:r>
    </w:p>
    <w:p>
      <w:pPr>
        <w:pStyle w:val="Heading1"/>
        <w:spacing w:after="140" w:before="280"/>
      </w:pPr>
      <w:r>
        <w:rPr>
          <w:rFonts w:ascii="Calibri" w:cs="Calibri" w:eastAsia="Calibri" w:hAnsi="Calibri"/>
          <w:b/>
          <w:bCs/>
          <w:color w:val="1F4E79"/>
          <w:sz w:val="30"/>
          <w:szCs w:val="30"/>
        </w:rPr>
        <w:t xml:space="preserve">Capacity Plan — 5,000 MAU, Realtime-Single Dominant</w:t>
      </w:r>
    </w:p>
    <w:p>
      <w:pPr>
        <w:spacing w:after="120"/>
      </w:pPr>
      <w:r>
        <w:rPr>
          <w:rFonts w:ascii="Calibri" w:cs="Calibri" w:eastAsia="Calibri" w:hAnsi="Calibri"/>
          <w:sz w:val="22"/>
          <w:szCs w:val="22"/>
        </w:rPr>
        <w:t xml:space="preserve">Rough but useful math. Assume 5,000 monthly active users, each doing ~200 validations/month (mix of manual checks and light API use) → ~1,000,000 validations/month.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pct" w:w="22%"/>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c>
          <w:tcPr>
            <w:tcW w:type="pct" w:w="32%"/>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Note</w:t>
            </w:r>
          </w:p>
        </w:tc>
      </w:tr>
      <w:tr>
        <w:trPr>
          <w:tblHeader w:val="false"/>
        </w:trPr>
        <w:tc>
          <w:tcPr>
            <w:tcW w:type="pct" w:w="46%"/>
            <w:tcMar>
              <w:top w:type="dxa" w:w="60"/>
              <w:left w:type="dxa" w:w="100"/>
              <w:bottom w:type="dxa" w:w="60"/>
              <w:right w:type="dxa" w:w="100"/>
            </w:tcMar>
          </w:tcPr>
          <w:p>
            <w:r>
              <w:rPr>
                <w:rFonts w:ascii="Calibri" w:cs="Calibri" w:eastAsia="Calibri" w:hAnsi="Calibri"/>
                <w:b w:val="false"/>
                <w:bCs w:val="false"/>
                <w:sz w:val="19"/>
                <w:szCs w:val="19"/>
              </w:rPr>
              <w:t xml:space="preserve">Validations / month</w:t>
            </w:r>
          </w:p>
        </w:tc>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~1,000,000</w:t>
            </w:r>
          </w:p>
        </w:tc>
        <w:tc>
          <w:tcPr>
            <w:tcW w:type="pct" w:w="32%"/>
            <w:tcMar>
              <w:top w:type="dxa" w:w="60"/>
              <w:left w:type="dxa" w:w="100"/>
              <w:bottom w:type="dxa" w:w="60"/>
              <w:right w:type="dxa" w:w="100"/>
            </w:tcMar>
          </w:tcPr>
          <w:p>
            <w:r>
              <w:rPr>
                <w:rFonts w:ascii="Calibri" w:cs="Calibri" w:eastAsia="Calibri" w:hAnsi="Calibri"/>
                <w:b w:val="false"/>
                <w:bCs w:val="false"/>
                <w:sz w:val="19"/>
                <w:szCs w:val="19"/>
              </w:rPr>
              <w:t xml:space="preserve">5,000 MAU × ~200</w:t>
            </w:r>
          </w:p>
        </w:tc>
      </w:tr>
      <w:tr>
        <w:trPr>
          <w:tblHeader w:val="false"/>
        </w:trPr>
        <w:tc>
          <w:tcPr>
            <w:tcW w:type="pct" w:w="46%"/>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Avg / day</w:t>
            </w:r>
          </w:p>
        </w:tc>
        <w:tc>
          <w:tcPr>
            <w:tcW w:type="pct" w:w="2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~33,000</w:t>
            </w:r>
          </w:p>
        </w:tc>
        <w:tc>
          <w:tcPr>
            <w:tcW w:type="pct" w:w="3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even spread</w:t>
            </w:r>
          </w:p>
        </w:tc>
      </w:tr>
      <w:tr>
        <w:trPr>
          <w:tblHeader w:val="false"/>
        </w:trPr>
        <w:tc>
          <w:tcPr>
            <w:tcW w:type="pct" w:w="46%"/>
            <w:tcMar>
              <w:top w:type="dxa" w:w="60"/>
              <w:left w:type="dxa" w:w="100"/>
              <w:bottom w:type="dxa" w:w="60"/>
              <w:right w:type="dxa" w:w="100"/>
            </w:tcMar>
          </w:tcPr>
          <w:p>
            <w:r>
              <w:rPr>
                <w:rFonts w:ascii="Calibri" w:cs="Calibri" w:eastAsia="Calibri" w:hAnsi="Calibri"/>
                <w:b w:val="false"/>
                <w:bCs w:val="false"/>
                <w:sz w:val="19"/>
                <w:szCs w:val="19"/>
              </w:rPr>
              <w:t xml:space="preserve">Peak-hour rate (10% in 1h)</w:t>
            </w:r>
          </w:p>
        </w:tc>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~3,300 / hour</w:t>
            </w:r>
          </w:p>
        </w:tc>
        <w:tc>
          <w:tcPr>
            <w:tcW w:type="pct" w:w="32%"/>
            <w:tcMar>
              <w:top w:type="dxa" w:w="60"/>
              <w:left w:type="dxa" w:w="100"/>
              <w:bottom w:type="dxa" w:w="60"/>
              <w:right w:type="dxa" w:w="100"/>
            </w:tcMar>
          </w:tcPr>
          <w:p>
            <w:r>
              <w:rPr>
                <w:rFonts w:ascii="Calibri" w:cs="Calibri" w:eastAsia="Calibri" w:hAnsi="Calibri"/>
                <w:b w:val="false"/>
                <w:bCs w:val="false"/>
                <w:sz w:val="19"/>
                <w:szCs w:val="19"/>
              </w:rPr>
              <w:t xml:space="preserve">≈ 0.9 req/s average</w:t>
            </w:r>
          </w:p>
        </w:tc>
      </w:tr>
      <w:tr>
        <w:trPr>
          <w:tblHeader w:val="false"/>
        </w:trPr>
        <w:tc>
          <w:tcPr>
            <w:tcW w:type="pct" w:w="46%"/>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Peak burst (5x avg)</w:t>
            </w:r>
          </w:p>
        </w:tc>
        <w:tc>
          <w:tcPr>
            <w:tcW w:type="pct" w:w="2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~5 req/s</w:t>
            </w:r>
          </w:p>
        </w:tc>
        <w:tc>
          <w:tcPr>
            <w:tcW w:type="pct" w:w="32%"/>
            <w:shd w:fill="F2F5F9" w:val="clear"/>
            <w:tcMar>
              <w:top w:type="dxa" w:w="60"/>
              <w:left w:type="dxa" w:w="100"/>
              <w:bottom w:type="dxa" w:w="60"/>
              <w:right w:type="dxa" w:w="100"/>
            </w:tcMar>
          </w:tcPr>
          <w:p>
            <w:r>
              <w:rPr>
                <w:rFonts w:ascii="Calibri" w:cs="Calibri" w:eastAsia="Calibri" w:hAnsi="Calibri"/>
                <w:b w:val="false"/>
                <w:bCs w:val="false"/>
                <w:sz w:val="19"/>
                <w:szCs w:val="19"/>
              </w:rPr>
              <w:t xml:space="preserve">design headroom</w:t>
            </w:r>
          </w:p>
        </w:tc>
      </w:tr>
    </w:tbl>
    <w:p>
      <w:pPr>
        <w:spacing w:after="120"/>
      </w:pPr>
      <w:r>
        <w:rPr>
          <w:rFonts w:ascii="Calibri" w:cs="Calibri" w:eastAsia="Calibri" w:hAnsi="Calibri"/>
          <w:b/>
          <w:bCs/>
          <w:sz w:val="22"/>
          <w:szCs w:val="22"/>
        </w:rPr>
        <w:t xml:space="preserve">Verdict: this is a small load. </w:t>
      </w:r>
      <w:r>
        <w:rPr>
          <w:rFonts w:ascii="Calibri" w:cs="Calibri" w:eastAsia="Calibri" w:hAnsi="Calibri"/>
          <w:sz w:val="22"/>
          <w:szCs w:val="22"/>
        </w:rPr>
        <w:t xml:space="preserve">At ~1–5 req/s, a single well-tuned Hetzner box handles it comfortably — the scaling worry is not throughput, it's (a) not blocking workers on I/O and (b) protecting your SMTP IP reputation. Concretely:</w:t>
      </w:r>
    </w:p>
    <w:p>
      <w:pPr>
        <w:pStyle w:val="ListParagraph"/>
        <w:numPr>
          <w:ilvl w:val="0"/>
          <w:numId w:val="2"/>
        </w:numPr>
        <w:spacing w:after="80"/>
      </w:pPr>
      <w:r>
        <w:rPr>
          <w:rFonts w:ascii="Calibri" w:cs="Calibri" w:eastAsia="Calibri" w:hAnsi="Calibri"/>
          <w:b/>
          <w:bCs/>
          <w:sz w:val="22"/>
          <w:szCs w:val="22"/>
        </w:rPr>
        <w:t xml:space="preserve">Web workers: </w:t>
      </w:r>
      <w:r>
        <w:rPr>
          <w:rFonts w:ascii="Calibri" w:cs="Calibri" w:eastAsia="Calibri" w:hAnsi="Calibri"/>
          <w:sz w:val="22"/>
          <w:szCs w:val="22"/>
        </w:rPr>
        <w:t xml:space="preserve">with 300–400ms responses, a handful of gunicorn workers (e.g. 2× CPU cores) saturates well past 5 req/s. The async write is what keeps each worker free instead of parked on DB I/O — this matters more than raw worker count.</w:t>
      </w:r>
    </w:p>
    <w:p>
      <w:pPr>
        <w:pStyle w:val="ListParagraph"/>
        <w:numPr>
          <w:ilvl w:val="0"/>
          <w:numId w:val="2"/>
        </w:numPr>
        <w:spacing w:after="80"/>
      </w:pPr>
      <w:r>
        <w:rPr>
          <w:rFonts w:ascii="Calibri" w:cs="Calibri" w:eastAsia="Calibri" w:hAnsi="Calibri"/>
          <w:b/>
          <w:bCs/>
          <w:sz w:val="22"/>
          <w:szCs w:val="22"/>
        </w:rPr>
        <w:t xml:space="preserve">Postgres: </w:t>
      </w:r>
      <w:r>
        <w:rPr>
          <w:rFonts w:ascii="Calibri" w:cs="Calibri" w:eastAsia="Calibri" w:hAnsi="Calibri"/>
          <w:sz w:val="22"/>
          <w:szCs w:val="22"/>
        </w:rPr>
        <w:t xml:space="preserve">1M rows/month is nothing for Postgres, but plan a retention/partitioning policy on </w:t>
      </w:r>
      <w:r>
        <w:rPr>
          <w:rFonts w:ascii="Consolas" w:cs="Consolas" w:eastAsia="Consolas" w:hAnsi="Consolas"/>
          <w:sz w:val="20"/>
          <w:szCs w:val="20"/>
        </w:rPr>
        <w:t xml:space="preserve">email_validation</w:t>
      </w:r>
      <w:r>
        <w:rPr>
          <w:rFonts w:ascii="Calibri" w:cs="Calibri" w:eastAsia="Calibri" w:hAnsi="Calibri"/>
          <w:sz w:val="22"/>
          <w:szCs w:val="22"/>
        </w:rPr>
        <w:t xml:space="preserve"> (monthly partitions or a 90-day archive job) so the hot table and its indexes stay small. Add PgBouncer once you have async workers + web workers both holding connections.</w:t>
      </w:r>
    </w:p>
    <w:p>
      <w:pPr>
        <w:pStyle w:val="ListParagraph"/>
        <w:numPr>
          <w:ilvl w:val="0"/>
          <w:numId w:val="2"/>
        </w:numPr>
        <w:spacing w:after="80"/>
      </w:pPr>
      <w:r>
        <w:rPr>
          <w:rFonts w:ascii="Calibri" w:cs="Calibri" w:eastAsia="Calibri" w:hAnsi="Calibri"/>
          <w:b/>
          <w:bCs/>
          <w:sz w:val="22"/>
          <w:szCs w:val="22"/>
        </w:rPr>
        <w:t xml:space="preserve">Redis: </w:t>
      </w:r>
      <w:r>
        <w:rPr>
          <w:rFonts w:ascii="Calibri" w:cs="Calibri" w:eastAsia="Calibri" w:hAnsi="Calibri"/>
          <w:sz w:val="22"/>
          <w:szCs w:val="22"/>
        </w:rPr>
        <w:t xml:space="preserve">carries the result-cache, per-provider SMTP rate limiter, and Celery broker. One instance is fine at this scale; make sure it's persistent enough for the queue.</w:t>
      </w:r>
    </w:p>
    <w:p>
      <w:pPr>
        <w:pStyle w:val="ListParagraph"/>
        <w:numPr>
          <w:ilvl w:val="0"/>
          <w:numId w:val="2"/>
        </w:numPr>
        <w:spacing w:after="80"/>
      </w:pPr>
      <w:r>
        <w:rPr>
          <w:rFonts w:ascii="Calibri" w:cs="Calibri" w:eastAsia="Calibri" w:hAnsi="Calibri"/>
          <w:b/>
          <w:bCs/>
          <w:sz w:val="22"/>
          <w:szCs w:val="22"/>
        </w:rPr>
        <w:t xml:space="preserve">The real ceiling is SMTP, not the app. </w:t>
      </w:r>
      <w:r>
        <w:rPr>
          <w:rFonts w:ascii="Calibri" w:cs="Calibri" w:eastAsia="Calibri" w:hAnsi="Calibri"/>
          <w:sz w:val="22"/>
          <w:szCs w:val="22"/>
        </w:rPr>
        <w:t xml:space="preserve">At 33k checks/day, cache hits and catch-all/domain caching should absorb a large fraction; the rest hit real MX servers under the per-provider rate limiter. Your IP pool and reputation — not CPU — decide how fast you can safely probe. Size the IP pool to the peak </w:t>
      </w:r>
      <w:r>
        <w:rPr>
          <w:rFonts w:ascii="Calibri" w:cs="Calibri" w:eastAsia="Calibri" w:hAnsi="Calibri"/>
          <w:b/>
          <w:bCs/>
          <w:sz w:val="22"/>
          <w:szCs w:val="22"/>
        </w:rPr>
        <w:t xml:space="preserve">uncached</w:t>
      </w:r>
      <w:r>
        <w:rPr>
          <w:rFonts w:ascii="Calibri" w:cs="Calibri" w:eastAsia="Calibri" w:hAnsi="Calibri"/>
          <w:sz w:val="22"/>
          <w:szCs w:val="22"/>
        </w:rPr>
        <w:t xml:space="preserve"> probe rate, not the total request rate.</w:t>
      </w:r>
    </w:p>
    <w:p>
      <w:pPr>
        <w:pStyle w:val="ListParagraph"/>
        <w:numPr>
          <w:ilvl w:val="0"/>
          <w:numId w:val="2"/>
        </w:numPr>
        <w:spacing w:after="80"/>
      </w:pPr>
      <w:r>
        <w:rPr>
          <w:rFonts w:ascii="Calibri" w:cs="Calibri" w:eastAsia="Calibri" w:hAnsi="Calibri"/>
          <w:b/>
          <w:bCs/>
          <w:sz w:val="22"/>
          <w:szCs w:val="22"/>
        </w:rPr>
        <w:t xml:space="preserve">Cache hit rate is your biggest lever. </w:t>
      </w:r>
      <w:r>
        <w:rPr>
          <w:rFonts w:ascii="Calibri" w:cs="Calibri" w:eastAsia="Calibri" w:hAnsi="Calibri"/>
          <w:sz w:val="22"/>
          <w:szCs w:val="22"/>
        </w:rPr>
        <w:t xml:space="preserve">A 7-day result cache plus domain-level MX/catch-all caching can cut real SMTP probes dramatically on repeat and same-domain traffic, directly lowering both latency and IP-reputation risk.</w:t>
      </w:r>
    </w:p>
    <w:p>
      <w:pPr>
        <w:pStyle w:val="Heading1"/>
        <w:spacing w:after="140" w:before="280"/>
      </w:pPr>
      <w:r>
        <w:rPr>
          <w:rFonts w:ascii="Calibri" w:cs="Calibri" w:eastAsia="Calibri" w:hAnsi="Calibri"/>
          <w:b/>
          <w:bCs/>
          <w:color w:val="1F4E79"/>
          <w:sz w:val="30"/>
          <w:szCs w:val="30"/>
        </w:rPr>
        <w:t xml:space="preserve">Fix Order</w:t>
      </w:r>
    </w:p>
    <w:p>
      <w:pPr>
        <w:pStyle w:val="ListParagraph"/>
        <w:numPr>
          <w:ilvl w:val="0"/>
          <w:numId w:val="3"/>
        </w:numPr>
        <w:spacing w:after="80"/>
      </w:pPr>
      <w:r>
        <w:rPr>
          <w:rFonts w:ascii="Calibri" w:cs="Calibri" w:eastAsia="Calibri" w:hAnsi="Calibri"/>
          <w:b/>
          <w:bCs/>
          <w:sz w:val="22"/>
          <w:szCs w:val="22"/>
        </w:rPr>
        <w:t xml:space="preserve">Delete all print() </w:t>
      </w:r>
      <w:r>
        <w:rPr>
          <w:rFonts w:ascii="Calibri" w:cs="Calibri" w:eastAsia="Calibri" w:hAnsi="Calibri"/>
          <w:sz w:val="22"/>
          <w:szCs w:val="22"/>
        </w:rPr>
        <w:t xml:space="preserve">from </w:t>
      </w:r>
      <w:r>
        <w:rPr>
          <w:rFonts w:ascii="Consolas" w:cs="Consolas" w:eastAsia="Consolas" w:hAnsi="Consolas"/>
          <w:sz w:val="20"/>
          <w:szCs w:val="20"/>
        </w:rPr>
        <w:t xml:space="preserve">Basemodel.save()</w:t>
      </w:r>
      <w:r>
        <w:rPr>
          <w:rFonts w:ascii="Calibri" w:cs="Calibri" w:eastAsia="Calibri" w:hAnsi="Calibri"/>
          <w:sz w:val="22"/>
          <w:szCs w:val="22"/>
        </w:rPr>
        <w:t xml:space="preserve"> and </w:t>
      </w:r>
      <w:r>
        <w:rPr>
          <w:rFonts w:ascii="Consolas" w:cs="Consolas" w:eastAsia="Consolas" w:hAnsi="Consolas"/>
          <w:sz w:val="20"/>
          <w:szCs w:val="20"/>
        </w:rPr>
        <w:t xml:space="preserve">settings.py</w:t>
      </w:r>
      <w:r>
        <w:rPr>
          <w:rFonts w:ascii="Calibri" w:cs="Calibri" w:eastAsia="Calibri" w:hAnsi="Calibri"/>
          <w:sz w:val="22"/>
          <w:szCs w:val="22"/>
        </w:rPr>
        <w:t xml:space="preserve">. Zero risk, immediate.</w:t>
      </w:r>
    </w:p>
    <w:p>
      <w:pPr>
        <w:pStyle w:val="ListParagraph"/>
        <w:numPr>
          <w:ilvl w:val="0"/>
          <w:numId w:val="3"/>
        </w:numPr>
        <w:spacing w:after="80"/>
      </w:pPr>
      <w:r>
        <w:rPr>
          <w:rFonts w:ascii="Calibri" w:cs="Calibri" w:eastAsia="Calibri" w:hAnsi="Calibri"/>
          <w:b/>
          <w:bCs/>
          <w:sz w:val="22"/>
          <w:szCs w:val="22"/>
        </w:rPr>
        <w:t xml:space="preserve">Add CONN_MAX_AGE </w:t>
      </w:r>
      <w:r>
        <w:rPr>
          <w:rFonts w:ascii="Calibri" w:cs="Calibri" w:eastAsia="Calibri" w:hAnsi="Calibri"/>
          <w:sz w:val="22"/>
          <w:szCs w:val="22"/>
        </w:rPr>
        <w:t xml:space="preserve">(or PgBouncer) to the non-Heroku DB config.</w:t>
      </w:r>
    </w:p>
    <w:p>
      <w:pPr>
        <w:pStyle w:val="ListParagraph"/>
        <w:numPr>
          <w:ilvl w:val="0"/>
          <w:numId w:val="3"/>
        </w:numPr>
        <w:spacing w:after="80"/>
      </w:pPr>
      <w:r>
        <w:rPr>
          <w:rFonts w:ascii="Calibri" w:cs="Calibri" w:eastAsia="Calibri" w:hAnsi="Calibri"/>
          <w:b/>
          <w:bCs/>
          <w:sz w:val="22"/>
          <w:szCs w:val="22"/>
        </w:rPr>
        <w:t xml:space="preserve">Collapse the non-credit writes </w:t>
      </w:r>
      <w:r>
        <w:rPr>
          <w:rFonts w:ascii="Calibri" w:cs="Calibri" w:eastAsia="Calibri" w:hAnsi="Calibri"/>
          <w:sz w:val="22"/>
          <w:szCs w:val="22"/>
        </w:rPr>
        <w:t xml:space="preserve">into one transaction; keep the credit decrement atomic and separate.</w:t>
      </w:r>
    </w:p>
    <w:p>
      <w:pPr>
        <w:pStyle w:val="ListParagraph"/>
        <w:numPr>
          <w:ilvl w:val="0"/>
          <w:numId w:val="3"/>
        </w:numPr>
        <w:spacing w:after="80"/>
      </w:pPr>
      <w:r>
        <w:rPr>
          <w:rFonts w:ascii="Calibri" w:cs="Calibri" w:eastAsia="Calibri" w:hAnsi="Calibri"/>
          <w:b/>
          <w:bCs/>
          <w:sz w:val="22"/>
          <w:szCs w:val="22"/>
        </w:rPr>
        <w:t xml:space="preserve">Move record + usage + stats writes async </w:t>
      </w:r>
      <w:r>
        <w:rPr>
          <w:rFonts w:ascii="Calibri" w:cs="Calibri" w:eastAsia="Calibri" w:hAnsi="Calibri"/>
          <w:sz w:val="22"/>
          <w:szCs w:val="22"/>
        </w:rPr>
        <w:t xml:space="preserve">(Celery), writing the Redis result-cache in the same task.</w:t>
      </w:r>
    </w:p>
    <w:p>
      <w:pPr>
        <w:pStyle w:val="ListParagraph"/>
        <w:numPr>
          <w:ilvl w:val="0"/>
          <w:numId w:val="3"/>
        </w:numPr>
        <w:spacing w:after="80"/>
      </w:pPr>
      <w:r>
        <w:rPr>
          <w:rFonts w:ascii="Calibri" w:cs="Calibri" w:eastAsia="Calibri" w:hAnsi="Calibri"/>
          <w:b/>
          <w:bCs/>
          <w:sz w:val="22"/>
          <w:szCs w:val="22"/>
        </w:rPr>
        <w:t xml:space="preserve">Add the result cache </w:t>
      </w:r>
      <w:r>
        <w:rPr>
          <w:rFonts w:ascii="Calibri" w:cs="Calibri" w:eastAsia="Calibri" w:hAnsi="Calibri"/>
          <w:sz w:val="22"/>
          <w:szCs w:val="22"/>
        </w:rPr>
        <w:t xml:space="preserve">on the request path (coordinate with Issue 9 of the engine spec).</w:t>
      </w:r>
    </w:p>
    <w:p>
      <w:pPr>
        <w:pStyle w:val="ListParagraph"/>
        <w:numPr>
          <w:ilvl w:val="0"/>
          <w:numId w:val="3"/>
        </w:numPr>
        <w:spacing w:after="80"/>
      </w:pPr>
      <w:r>
        <w:rPr>
          <w:rFonts w:ascii="Calibri" w:cs="Calibri" w:eastAsia="Calibri" w:hAnsi="Calibri"/>
          <w:b/>
          <w:bCs/>
          <w:sz w:val="22"/>
          <w:szCs w:val="22"/>
        </w:rPr>
        <w:t xml:space="preserve">Add retention/partitioning </w:t>
      </w:r>
      <w:r>
        <w:rPr>
          <w:rFonts w:ascii="Calibri" w:cs="Calibri" w:eastAsia="Calibri" w:hAnsi="Calibri"/>
          <w:sz w:val="22"/>
          <w:szCs w:val="22"/>
        </w:rPr>
        <w:t xml:space="preserve">on </w:t>
      </w:r>
      <w:r>
        <w:rPr>
          <w:rFonts w:ascii="Consolas" w:cs="Consolas" w:eastAsia="Consolas" w:hAnsi="Consolas"/>
          <w:sz w:val="20"/>
          <w:szCs w:val="20"/>
        </w:rPr>
        <w:t xml:space="preserve">email_validation</w:t>
      </w:r>
      <w:r>
        <w:rPr>
          <w:rFonts w:ascii="Calibri" w:cs="Calibri" w:eastAsia="Calibri" w:hAnsi="Calibri"/>
          <w:sz w:val="22"/>
          <w:szCs w:val="22"/>
        </w:rPr>
        <w:t xml:space="preserve"> before volume accumulates.</w:t>
      </w:r>
    </w:p>
    <w:p>
      <w:pPr>
        <w:spacing w:after="120"/>
      </w:pPr>
      <w:r>
        <w:rPr>
          <w:rFonts w:ascii="Calibri" w:cs="Calibri" w:eastAsia="Calibri" w:hAnsi="Calibri"/>
          <w:sz w:val="22"/>
          <w:szCs w:val="22"/>
        </w:rPr>
        <w:t xml:space="preserve">Steps 1–3 are a same-day, low-risk 5–6x win. Steps 4–6 buy the headroom for 5,000 MAU and beyond. Note the interaction with the engine spec: Issue 9 there makes the realtime path do the </w:t>
      </w:r>
      <w:r>
        <w:rPr>
          <w:rFonts w:ascii="Calibri" w:cs="Calibri" w:eastAsia="Calibri" w:hAnsi="Calibri"/>
          <w:b/>
          <w:bCs/>
          <w:sz w:val="22"/>
          <w:szCs w:val="22"/>
        </w:rPr>
        <w:t xml:space="preserve">deep</w:t>
      </w:r>
      <w:r>
        <w:rPr>
          <w:rFonts w:ascii="Calibri" w:cs="Calibri" w:eastAsia="Calibri" w:hAnsi="Calibri"/>
          <w:sz w:val="22"/>
          <w:szCs w:val="22"/>
        </w:rPr>
        <w:t xml:space="preserve"> SMTP probe inline (2–8s budget) to return real </w:t>
      </w:r>
      <w:r>
        <w:rPr>
          <w:rFonts w:ascii="Consolas" w:cs="Consolas" w:eastAsia="Consolas" w:hAnsi="Consolas"/>
          <w:sz w:val="20"/>
          <w:szCs w:val="20"/>
        </w:rPr>
        <w:t xml:space="preserve">valid</w:t>
      </w:r>
      <w:r>
        <w:rPr>
          <w:rFonts w:ascii="Calibri" w:cs="Calibri" w:eastAsia="Calibri" w:hAnsi="Calibri"/>
          <w:sz w:val="22"/>
          <w:szCs w:val="22"/>
        </w:rPr>
        <w:t xml:space="preserve"> verdicts — so the persist work must be async, or it stacks on top of a probe that is now intentionally longer. These two changes are complementary and should land together.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2026-07-13T07:32:00.212Z</dcterms:created>
  <dcterms:modified xsi:type="dcterms:W3CDTF">2026-07-13T07:32:00.237Z</dcterms:modified>
</cp:coreProperties>
</file>

<file path=docProps/custom.xml><?xml version="1.0" encoding="utf-8"?>
<Properties xmlns="http://schemas.openxmlformats.org/officeDocument/2006/custom-properties" xmlns:vt="http://schemas.openxmlformats.org/officeDocument/2006/docPropsVTypes"/>
</file>