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 Used-Car Market Analysis</w:t>
      </w:r>
    </w:p>
    <w:p>
      <w:pPr>
        <w:spacing w:after="80"/>
      </w:pPr>
      <w:r>
        <w:rPr>
          <w:color w:val="444444"/>
          <w:sz w:val="28"/>
        </w:rPr>
        <w:t>A Spring 2021 Snapshot — Craigslist Used Vehicle Listings</w:t>
      </w:r>
    </w:p>
    <w:p>
      <w:pPr>
        <w:spacing w:after="400"/>
      </w:pPr>
      <w:r>
        <w:rPr>
          <w:color w:val="777777"/>
          <w:sz w:val="21"/>
        </w:rPr>
        <w:t>Data Analyst Portfolio Project  |  Excel · Power BI · Tableau · SQL</w:t>
      </w:r>
    </w:p>
    <w:p>
      <w:pPr>
        <w:pStyle w:val="Heading1"/>
      </w:pPr>
      <w:r>
        <w:t>Executive Summary</w:t>
      </w:r>
    </w:p>
    <w:p>
      <w:r>
        <w:t>This project analyzes 251,092 deduplicated used-vehicle listings scraped from Craigslist between April 4 and May 5, 2021 — a narrow window that happens to fall near the peak of the pandemic-era used-car price spike. The analysis explores how price relates to vehicle age, mileage, body type, fuel type, title status, brand, and geography, and specifically examines whether the dataset carries a detectable “fingerprint” of COVID-19's disruption to the used-car market.</w:t>
      </w:r>
    </w:p>
    <w:p>
      <w:r>
        <w:t>The average listed price across the dataset was $15,836, for vehicles averaging 11.9 years old with 172,270 km (~107,000 miles) on the odometer. Price behaves largely as expected — depreciating with age and mileage — but several findings stand out, detailed below, including a clear supply-and-price signature consistent with the well-documented 2021 used-car shortage.</w:t>
      </w:r>
    </w:p>
    <w:p>
      <w:pPr>
        <w:pStyle w:val="Heading1"/>
      </w:pPr>
      <w:r>
        <w:t>1. Background &amp; Objective</w:t>
      </w:r>
    </w:p>
    <w:p>
      <w:r>
        <w:t>The goal of this project was to build an end-to-end analysis — from raw data cleaning through dashboarding in three different BI tools plus a SQL layer — using a single real-world dataset, as a demonstration of practical data-analyst skills for job applications.</w:t>
      </w:r>
    </w:p>
    <w:p>
      <w:r>
        <w:t>The source data (Kaggle's “Used Cars Dataset,” itself scraped from Craigslist) contains 426,880 raw listings. Critically, all posting dates fall between April 4, 2021 and May 5, 2021 — a single month, not a multi-year span. This makes a true before/after COVID time series impossible from this file alone. The analysis is therefore deliberately framed as a “peak-pandemic snapshot”: a detailed look at what the used-car market looked like at one specific, historically unusual moment, using vehicle model year (rather than posting date) as the time-related dimension of interest.</w:t>
      </w:r>
    </w:p>
    <w:p>
      <w:pPr>
        <w:pStyle w:val="Heading1"/>
      </w:pPr>
      <w:r>
        <w:t>2. Data Preparation &amp; Methodology</w:t>
      </w:r>
    </w:p>
    <w:p>
      <w:pPr>
        <w:pStyle w:val="ListBullet"/>
      </w:pPr>
      <w:r>
        <w:rPr>
          <w:b/>
        </w:rPr>
        <w:t xml:space="preserve">Cleaning: </w:t>
      </w:r>
      <w:r>
        <w:t>Of 426,880 raw rows, price was restricted to a plausible $500–$150,000 range, rows with missing or invalid model years were dropped, and odometer readings under 100 or over 350,000 miles were flagged and nulled (row retained) rather than deleted outright. This left 383,405 cleaned rows.</w:t>
      </w:r>
    </w:p>
    <w:p>
      <w:pPr>
        <w:pStyle w:val="ListBullet"/>
      </w:pPr>
      <w:r>
        <w:rPr>
          <w:b/>
        </w:rPr>
        <w:t xml:space="preserve">Deduplication: </w:t>
      </w:r>
      <w:r>
        <w:t>Dealers frequently cross-post the same physical vehicle to dozens of regional Craigslist pages under the same VIN — some VINs appeared 200+ times in the raw data. Filtering to one row per unique VIN (plus all listings with no VIN, which can't be deduplicated) produced 251,092 records representing real, distinct vehicles. All KPIs and average-price figures in this report use this deduplicated set; only about 61% of listings included a VIN at all.</w:t>
      </w:r>
    </w:p>
    <w:p>
      <w:pPr>
        <w:pStyle w:val="ListBullet"/>
      </w:pPr>
      <w:r>
        <w:rPr>
          <w:b/>
        </w:rPr>
        <w:t xml:space="preserve">Derived fields: </w:t>
      </w:r>
      <w:r>
        <w:t>car_age, odometer in kilometers, ordered age/price/mileage buckets, a cleaned manufacturer name, a numeric cylinder count, EV/hybrid and clean-title flags, price-per-distance ratios, and posting week/month were engineered to support the analysis.</w:t>
      </w:r>
    </w:p>
    <w:p>
      <w:pPr>
        <w:pStyle w:val="ListBullet"/>
      </w:pPr>
      <w:r>
        <w:rPr>
          <w:b/>
        </w:rPr>
        <w:t xml:space="preserve">Tools: </w:t>
      </w:r>
      <w:r>
        <w:t>The same cleaned dataset was analyzed three ways — Excel (PivotTables/PivotCharts with slicers and KPI cards), Power BI (an equivalent interactive dashboard), and Tableau (8 worksheets combined into one filterable dashboard with a U.S. choropleth map) — with a supporting SQL reference covering the functions and join types applicable to this kind of analysis.</w:t>
      </w:r>
    </w:p>
    <w:p>
      <w:pPr>
        <w:spacing w:before="120" w:after="200"/>
        <w:ind w:left="288" w:right="288"/>
        <w:shd w:val="clear" w:color="auto" w:fill="EFF6FF"/>
      </w:pPr>
      <w:r>
        <w:rPr>
          <w:i/>
          <w:sz w:val="21"/>
        </w:rPr>
        <w:t>Note: a small (~0.5%) discrepancy in total vehicle count appears between tools (251,092 in Excel/Power BI vs. 249,758 in Tableau) due to minor differences in how each tool's filter context was applied. This does not meaningfully affect any of the findings below.</w:t>
      </w:r>
    </w:p>
    <w:p>
      <w:pPr>
        <w:pStyle w:val="Heading1"/>
      </w:pPr>
      <w:r>
        <w:t>3. Key Findings</w:t>
      </w:r>
    </w:p>
    <w:p>
      <w:pPr>
        <w:pStyle w:val="Heading2"/>
      </w:pPr>
      <w:r>
        <w:t>3.1 Depreciation &amp; Vehicle Age</w:t>
      </w:r>
    </w:p>
    <w:p>
      <w:r>
        <w:t>Average price falls sharply with age, from $35,138 for vehicles 0–2 years old down to $7,137 for vehicles 16–20 years old — an 80% decline. Interestingly, the curve is not purely monotonic: vehicles over 20 years old average $11,158, noticeably higher than the 16–20 year bracket. This uptick likely reflects a mix of collector/classic vehicles and specialty trucks that hold or regain value once they age out of the “just an old car” category — a pattern worth flagging as a genuinely interesting, non-obvious result.</w:t>
      </w:r>
    </w:p>
    <w:p>
      <w:pPr>
        <w:pStyle w:val="Heading2"/>
      </w:pPr>
      <w:r>
        <w:t>3.2 Mileage</w:t>
      </w:r>
    </w:p>
    <w:p>
      <w:r>
        <w:t>Price declines cleanly and monotonically with odometer reading, from roughly $30,000 for vehicles under 25,000 km to about $9,000 for vehicles over 200,000 km. Unlike the age curve, there is no late uptick here — mileage behaves as a more purely linear value-destroyer than age.</w:t>
      </w:r>
    </w:p>
    <w:p>
      <w:pPr>
        <w:pStyle w:val="Heading2"/>
      </w:pPr>
      <w:r>
        <w:t>3.3 Body Type &amp; Brand</w:t>
      </w:r>
    </w:p>
    <w:p>
      <w:r>
        <w:t>Pickup trucks (~$25,000) and full-size trucks (~$22,000) command the highest average prices among body types, while mini-vans are the cheapest (~$9,000). Among the ten highest-volume brands, Ram trucks average the highest price (~$27,000), while Honda is the lowest (~$10,000) — consistent with the broader truck/SUV price premium visible throughout the dataset.</w:t>
      </w:r>
    </w:p>
    <w:p>
      <w:pPr>
        <w:pStyle w:val="Heading2"/>
      </w:pPr>
      <w:r>
        <w:t>3.4 Fuel Type &amp; Title Status</w:t>
      </w:r>
    </w:p>
    <w:p>
      <w:r>
        <w:t>Diesel vehicles average the highest price by fuel type (~$30,000), reflecting their concentration in heavy-duty trucks rather than any inherent diesel premium. Gas and hybrid vehicles are the cheapest fuel categories (~$14–$15,000).</w:t>
      </w:r>
    </w:p>
    <w:p>
      <w:r>
        <w:t>Title status produced one of the more counter-intuitive results: vehicles with a lien (~$22,000) average a higher price than vehicles with a clean title (~$16,000). This almost certainly reflects a confound rather than a causal effect — vehicles still under an active lien tend to be newer, financed purchases, which are simply more expensive on average. Salvage, rebuilt, missing, and parts-only titles all fall well below both, as expected.</w:t>
      </w:r>
    </w:p>
    <w:p>
      <w:pPr>
        <w:pStyle w:val="Heading2"/>
      </w:pPr>
      <w:r>
        <w:t>3.5 Geography</w:t>
      </w:r>
    </w:p>
    <w:p>
      <w:r>
        <w:t>Average price varies meaningfully by state, ranging from about $10,988 to $23,358 depending on state. Building the geographic view also surfaced a notable data/tooling issue: 2-letter state codes are ambiguous to mapping software (e.g. “CA” can resolve to Canada, “GA” to the country Georgia), which caused Power BI to mis-place 2 states and Tableau to initially fail to geocode all 51 values until the country context was explicitly set to United States — a small but instructive lesson in real-world geospatial data cleaning.</w:t>
      </w:r>
    </w:p>
    <w:p>
      <w:pPr>
        <w:pStyle w:val="Heading1"/>
      </w:pPr>
      <w:r>
        <w:t>4. The Pandemic Question: Does This Data Show COVID-19's Fingerprint?</w:t>
      </w:r>
    </w:p>
    <w:p>
      <w:r>
        <w:t>Because this dataset is a single-month snapshot rather than a multi-year time series, it cannot directly show prices rising over the course of the pandemic. However, using vehicle model year as a proxy for “how new is the used-car supply,” a striking pattern emerges in the 2010–2021 model-year cohorts:</w:t>
      </w:r>
    </w:p>
    <w:p>
      <w:pPr>
        <w:pStyle w:val="ListBullet"/>
      </w:pPr>
      <w:r>
        <w:rPr>
          <w:b/>
        </w:rPr>
        <w:t xml:space="preserve">Prices rise steadily with model year, </w:t>
      </w:r>
      <w:r>
        <w:t>from roughly $10,000 for 2010 models up to roughly $38,000 for 2020 models — unsurprising on its own, since newer cars cost more.</w:t>
      </w:r>
    </w:p>
    <w:p>
      <w:pPr>
        <w:pStyle w:val="ListBullet"/>
      </w:pPr>
      <w:r>
        <w:rPr>
          <w:b/>
        </w:rPr>
        <w:t xml:space="preserve">But listing volume does not rise to match — it inverts. </w:t>
      </w:r>
      <w:r>
        <w:t>The number of listings per model year climbs through the mid-2010s and then drops sharply for 2019–2021 models. Specifically, average price for 2020-model vehicles jumped to $38,513 (from $32,457 for 2019 models) while the number of available listings fell from 9,667 to 6,575 over the same one-year jump — prices up, supply down, in the same breath.</w:t>
      </w:r>
    </w:p>
    <w:p>
      <w:r>
        <w:t>This is the in-file evidence of the pandemic-era used-car shortage: fewer near-new vehicles were available on the resale market in spring 2021 than the multi-year trend would predict, and the ones that were available commanded a steep premium. This lines up with several well-documented, external causes of the 2021 used-car price spike — new-vehicle production was constrained by the global semiconductor chip shortage, rental car companies had sold off large portions of their fleets in 2020 and could not quickly restock them, and consumer demand for personal vehicles rose as people avoided public transit and had extra disposable income from pandemic stimulus payments.</w:t>
      </w:r>
    </w:p>
    <w:p>
      <w:pPr>
        <w:spacing w:before="120" w:after="200"/>
        <w:ind w:left="288" w:right="288"/>
        <w:shd w:val="clear" w:color="auto" w:fill="EFF6FF"/>
      </w:pPr>
      <w:r>
        <w:rPr>
          <w:i/>
          <w:sz w:val="21"/>
        </w:rPr>
        <w:t>Important caveat: this is correlational, in-file evidence consistent with a well-documented external event — not proof of causation from this dataset alone, since there is no earlier snapshot in this file to compare against. A genuinely rigorous before/after comparison would require pairing this dataset with an external time series, such as the Manheim Used Vehicle Value Index or the U.S. Bureau of Labor Statistics' “Used Cars and Trucks” CPI component, both of which independently documented a sharp, historically unusual rise in used-vehicle prices through 2021. That comparison was intentionally scoped out of this project but is a natural next step.</w:t>
      </w:r>
    </w:p>
    <w:p>
      <w:pPr>
        <w:pStyle w:val="Heading1"/>
      </w:pPr>
      <w:r>
        <w:t>5. Limitations</w:t>
      </w:r>
    </w:p>
    <w:p>
      <w:pPr>
        <w:pStyle w:val="ListBullet"/>
      </w:pPr>
      <w:r>
        <w:rPr>
          <w:b/>
        </w:rPr>
        <w:t xml:space="preserve">Single time snapshot: </w:t>
      </w:r>
      <w:r>
        <w:t>all listings fall within one month (April–May 2021), so no true before/after pandemic comparison is possible within this file alone.</w:t>
      </w:r>
    </w:p>
    <w:p>
      <w:pPr>
        <w:pStyle w:val="ListBullet"/>
      </w:pPr>
      <w:r>
        <w:rPr>
          <w:b/>
        </w:rPr>
        <w:t xml:space="preserve">Incomplete deduplication: </w:t>
      </w:r>
      <w:r>
        <w:t>only ~61% of listings included a VIN; non-VIN listings could not be checked for duplication and are included as-is.</w:t>
      </w:r>
    </w:p>
    <w:p>
      <w:pPr>
        <w:pStyle w:val="ListBullet"/>
      </w:pPr>
      <w:r>
        <w:rPr>
          <w:b/>
        </w:rPr>
        <w:t xml:space="preserve">Missing categorical data: </w:t>
      </w:r>
      <w:r>
        <w:t>roughly 10,600 listings have no manufacturer and about 72,000 have no body type recorded — normal for scraped classified-ad data, but it does slightly understate volumes in brand- and body-type-based views.</w:t>
      </w:r>
    </w:p>
    <w:p>
      <w:pPr>
        <w:pStyle w:val="ListBullet"/>
      </w:pPr>
      <w:r>
        <w:rPr>
          <w:b/>
        </w:rPr>
        <w:t xml:space="preserve">Self-reported data: </w:t>
      </w:r>
      <w:r>
        <w:t>Craigslist listings are entered by individual sellers and dealers with no verification, so fields like mileage, condition, and title status reflect what was typed into the listing, not an independently audited record.</w:t>
      </w:r>
    </w:p>
    <w:p>
      <w:pPr>
        <w:pStyle w:val="ListBullet"/>
      </w:pPr>
      <w:r>
        <w:rPr>
          <w:b/>
        </w:rPr>
        <w:t xml:space="preserve">Minor cross-tool count variance: </w:t>
      </w:r>
      <w:r>
        <w:t>as noted above, total vehicle counts differ by ~0.5% between Excel/Power BI and Tableau due to filter-context differences, not a data error.</w:t>
      </w:r>
    </w:p>
    <w:p>
      <w:pPr>
        <w:pStyle w:val="Heading1"/>
      </w:pPr>
      <w:r>
        <w:t>6. Project Deliverables</w:t>
      </w:r>
    </w:p>
    <w:tbl>
      <w:tblPr>
        <w:tblStyle w:val="LightGrid-Accent1"/>
        <w:tblW w:type="auto" w:w="0"/>
        <w:tblLook w:firstColumn="1" w:firstRow="1" w:lastColumn="0" w:lastRow="0" w:noHBand="0" w:noVBand="1" w:val="04A0"/>
      </w:tblPr>
      <w:tblGrid>
        <w:gridCol w:w="4680"/>
        <w:gridCol w:w="4680"/>
      </w:tblGrid>
      <w:tr>
        <w:tc>
          <w:tcPr>
            <w:tcW w:type="dxa" w:w="4680"/>
          </w:tcPr>
          <w:p>
            <w:r>
              <w:rPr>
                <w:b/>
              </w:rPr>
              <w:t>Deliverable</w:t>
            </w:r>
          </w:p>
        </w:tc>
        <w:tc>
          <w:tcPr>
            <w:tcW w:type="dxa" w:w="4680"/>
          </w:tcPr>
          <w:p>
            <w:r>
              <w:rPr>
                <w:b/>
              </w:rPr>
              <w:t>Description</w:t>
            </w:r>
          </w:p>
        </w:tc>
      </w:tr>
      <w:tr>
        <w:tc>
          <w:tcPr>
            <w:tcW w:type="dxa" w:w="4680"/>
          </w:tcPr>
          <w:p>
            <w:r>
              <w:rPr>
                <w:rFonts w:ascii="Consolas" w:hAnsi="Consolas"/>
                <w:sz w:val="19"/>
              </w:rPr>
              <w:t>Used Cars Analysis.xlsx</w:t>
            </w:r>
          </w:p>
        </w:tc>
        <w:tc>
          <w:tcPr>
            <w:tcW w:type="dxa" w:w="4680"/>
          </w:tcPr>
          <w:p>
            <w:r>
              <w:t>8 PivotTables/PivotCharts, 4 slicers, and a KPI dashboard sheet</w:t>
            </w:r>
          </w:p>
        </w:tc>
      </w:tr>
      <w:tr>
        <w:tc>
          <w:tcPr>
            <w:tcW w:type="dxa" w:w="4680"/>
          </w:tcPr>
          <w:p>
            <w:r>
              <w:rPr>
                <w:rFonts w:ascii="Consolas" w:hAnsi="Consolas"/>
                <w:sz w:val="19"/>
              </w:rPr>
              <w:t>Used Cars Analysis.pbix</w:t>
            </w:r>
          </w:p>
        </w:tc>
        <w:tc>
          <w:tcPr>
            <w:tcW w:type="dxa" w:w="4680"/>
          </w:tcPr>
          <w:p>
            <w:r>
              <w:t>Equivalent interactive Power BI dashboard, including a U.S. map</w:t>
            </w:r>
          </w:p>
        </w:tc>
      </w:tr>
      <w:tr>
        <w:tc>
          <w:tcPr>
            <w:tcW w:type="dxa" w:w="4680"/>
          </w:tcPr>
          <w:p>
            <w:r>
              <w:rPr>
                <w:rFonts w:ascii="Consolas" w:hAnsi="Consolas"/>
                <w:sz w:val="19"/>
              </w:rPr>
              <w:t>Tableau used cars analysis.twb</w:t>
            </w:r>
          </w:p>
        </w:tc>
        <w:tc>
          <w:tcPr>
            <w:tcW w:type="dxa" w:w="4680"/>
          </w:tcPr>
          <w:p>
            <w:r>
              <w:t>8-chart Tableau dashboard with filters and KPI tiles</w:t>
            </w:r>
          </w:p>
        </w:tc>
      </w:tr>
      <w:tr>
        <w:tc>
          <w:tcPr>
            <w:tcW w:type="dxa" w:w="4680"/>
          </w:tcPr>
          <w:p>
            <w:r>
              <w:rPr>
                <w:rFonts w:ascii="Consolas" w:hAnsi="Consolas"/>
                <w:sz w:val="19"/>
              </w:rPr>
              <w:t>sql_functions_and_joins_reference.sql / .docx</w:t>
            </w:r>
          </w:p>
        </w:tc>
        <w:tc>
          <w:tcPr>
            <w:tcW w:type="dxa" w:w="4680"/>
          </w:tcPr>
          <w:p>
            <w:r>
              <w:t>Reference of common SQL functions and all join types, applied to this dataset's schema</w:t>
            </w:r>
          </w:p>
        </w:tc>
      </w:tr>
      <w:tr>
        <w:tc>
          <w:tcPr>
            <w:tcW w:type="dxa" w:w="4680"/>
          </w:tcPr>
          <w:p>
            <w:r>
              <w:rPr>
                <w:rFonts w:ascii="Consolas" w:hAnsi="Consolas"/>
                <w:sz w:val="19"/>
              </w:rPr>
              <w:t>vehicles_clean.csv / data_quality_summary.md</w:t>
            </w:r>
          </w:p>
        </w:tc>
        <w:tc>
          <w:tcPr>
            <w:tcW w:type="dxa" w:w="4680"/>
          </w:tcPr>
          <w:p>
            <w:r>
              <w:t>The cleaned dataset and its documented cleaning decisions</w:t>
            </w:r>
          </w:p>
        </w:tc>
      </w:tr>
    </w:tbl>
    <w:p>
      <w:pPr>
        <w:pStyle w:val="Heading1"/>
      </w:pPr>
      <w:r>
        <w:t>7. Conclusion</w:t>
      </w:r>
    </w:p>
    <w:p>
      <w:r>
        <w:t>Vehicle price in this dataset behaves largely as economic intuition would predict — falling with age and mileage, and varying by body type, brand, and fuel category in ways that track real-world vehicle utility and cost. The most analytically interesting result is not in any single chart but in the interaction between two of them: newer model-year vehicles were both scarcer and more expensive than the broader trend predicted, a pattern that lines up with the documented used-car shortage of 2021. That combination — an ordinary-looking dataset that still carries a faint signature of an extraordinary economic moment — was the most rewarding part of this analysis to uncover.</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