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ACA22">
      <w:pPr>
        <w:keepNext w:val="0"/>
        <w:keepLines w:val="0"/>
        <w:pageBreakBefore w:val="0"/>
        <w:widowControl/>
        <w:kinsoku/>
        <w:wordWrap/>
        <w:topLinePunct w:val="0"/>
        <w:autoSpaceDE/>
        <w:autoSpaceDN/>
        <w:bidi w:val="0"/>
        <w:adjustRightInd/>
        <w:snapToGrid/>
        <w:spacing w:after="0" w:line="300" w:lineRule="auto"/>
        <w:jc w:val="left"/>
        <w:textAlignment w:val="auto"/>
      </w:pPr>
      <w:r>
        <w:rPr>
          <w:rFonts w:ascii="Times New Roman" w:hAnsi="Times New Roman" w:eastAsia="宋体"/>
          <w:b/>
          <w:i w:val="0"/>
          <w:sz w:val="18"/>
        </w:rPr>
        <w:t>DOI：</w:t>
      </w:r>
      <w:r>
        <w:rPr>
          <w:rFonts w:ascii="Times New Roman" w:hAnsi="Times New Roman" w:eastAsia="宋体"/>
          <w:b w:val="0"/>
          <w:i w:val="0"/>
          <w:sz w:val="18"/>
        </w:rPr>
        <w:t>10.XXXX/XXXX.202X.XX.XXX</w:t>
      </w:r>
    </w:p>
    <w:p w14:paraId="6510CBF8">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bCs/>
          <w:i w:val="0"/>
          <w:sz w:val="32"/>
          <w:szCs w:val="32"/>
        </w:rPr>
      </w:pPr>
      <w:r>
        <w:rPr>
          <w:rFonts w:ascii="Times New Roman" w:hAnsi="Times New Roman" w:eastAsia="宋体"/>
          <w:b/>
          <w:bCs/>
          <w:i w:val="0"/>
          <w:sz w:val="32"/>
          <w:szCs w:val="32"/>
        </w:rPr>
        <w:t>面向地产项目团队的信息协同型AI智能体框架设计</w:t>
      </w:r>
    </w:p>
    <w:p w14:paraId="2548081E">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高海涛</w:t>
      </w:r>
    </w:p>
    <w:p w14:paraId="3E4F4F91">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（蓝城伟业控股有限公司，浙江 杭州，310000）</w:t>
      </w:r>
    </w:p>
    <w:p w14:paraId="4E45CD5E">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摘要</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随着大语言模型与AI Agent技术发展，人工智能正由单点任务辅助向复杂业务协同演进。针对地产项目数据多源异构、状态动态变化、业务规则复杂及组织权责明确等特征，本文构建了一套领域管理结构驱动的团队型智能体框架，将项目全景信息、领域知识与组织规则融入运行体系，并引入领域特化的自主任务编排机制，形成面向团队协作的信息协同能力。基于已实现的Emily系统，通过铺装验收和跨部门软装品质追溯两个实例验证其落地方式。实践表明，该框架能够突破传统AI工具面向单人与单任务的应用模式，为AI由个人效率工具向团队协同与企业智能化基础设施演进提供一种可行的工程实践路径。</w:t>
      </w:r>
    </w:p>
    <w:p w14:paraId="16A72B18">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关键词</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智能体；信息协同；项目管理；知识管理；大语言模型；地产项目</w:t>
      </w:r>
    </w:p>
    <w:p w14:paraId="6AA611E5">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中图分类号</w:t>
      </w:r>
      <w:r>
        <w:rPr>
          <w:rFonts w:hint="eastAsia" w:ascii="Times New Roman" w:hAnsi="Times New Roman" w:eastAsia="宋体"/>
          <w:b/>
          <w:bCs/>
          <w:i w:val="0"/>
          <w:sz w:val="18"/>
          <w:szCs w:val="18"/>
          <w:lang w:eastAsia="zh-CN"/>
        </w:rPr>
        <w:t>】</w:t>
      </w:r>
      <w:r>
        <w:rPr>
          <w:rFonts w:ascii="Times New Roman" w:hAnsi="Times New Roman" w:eastAsia="宋体"/>
          <w:b w:val="0"/>
          <w:i w:val="0"/>
          <w:sz w:val="18"/>
          <w:szCs w:val="18"/>
        </w:rPr>
        <w:t xml:space="preserve">TU71；TP182      </w:t>
      </w:r>
      <w:r>
        <w:rPr>
          <w:rFonts w:hint="eastAsia" w:ascii="Times New Roman" w:hAnsi="Times New Roman" w:eastAsia="宋体"/>
          <w:b w:val="0"/>
          <w:i w:val="0"/>
          <w:sz w:val="18"/>
          <w:szCs w:val="18"/>
          <w:lang w:eastAsia="zh-CN"/>
        </w:rPr>
        <w:t>【</w:t>
      </w:r>
      <w:r>
        <w:rPr>
          <w:rFonts w:ascii="Times New Roman" w:hAnsi="Times New Roman" w:eastAsia="宋体"/>
          <w:b/>
          <w:bCs/>
          <w:i w:val="0"/>
          <w:sz w:val="18"/>
          <w:szCs w:val="18"/>
        </w:rPr>
        <w:t>文献标识码</w:t>
      </w:r>
      <w:r>
        <w:rPr>
          <w:rFonts w:hint="eastAsia" w:ascii="Times New Roman" w:hAnsi="Times New Roman" w:eastAsia="宋体"/>
          <w:b/>
          <w:bCs/>
          <w:i w:val="0"/>
          <w:sz w:val="18"/>
          <w:szCs w:val="18"/>
          <w:lang w:eastAsia="zh-CN"/>
        </w:rPr>
        <w:t>】</w:t>
      </w:r>
      <w:r>
        <w:rPr>
          <w:rFonts w:ascii="Times New Roman" w:hAnsi="Times New Roman" w:eastAsia="宋体"/>
          <w:b/>
          <w:bCs/>
          <w:i w:val="0"/>
          <w:sz w:val="18"/>
          <w:szCs w:val="18"/>
        </w:rPr>
        <w:t>：</w:t>
      </w:r>
      <w:r>
        <w:rPr>
          <w:rFonts w:ascii="Times New Roman" w:hAnsi="Times New Roman" w:eastAsia="宋体"/>
          <w:b w:val="0"/>
          <w:i w:val="0"/>
          <w:sz w:val="18"/>
          <w:szCs w:val="18"/>
        </w:rPr>
        <w:t xml:space="preserve">A    </w:t>
      </w:r>
    </w:p>
    <w:p w14:paraId="19198B12">
      <w:pPr>
        <w:keepNext w:val="0"/>
        <w:keepLines w:val="0"/>
        <w:pageBreakBefore w:val="0"/>
        <w:widowControl/>
        <w:kinsoku/>
        <w:wordWrap/>
        <w:overflowPunct w:val="0"/>
        <w:topLinePunct w:val="0"/>
        <w:autoSpaceDE/>
        <w:autoSpaceDN/>
        <w:bidi w:val="0"/>
        <w:adjustRightInd/>
        <w:snapToGrid/>
        <w:spacing w:after="0" w:line="300" w:lineRule="auto"/>
        <w:jc w:val="left"/>
        <w:textAlignment w:val="auto"/>
        <w:rPr>
          <w:rFonts w:ascii="Times New Roman" w:hAnsi="Times New Roman" w:eastAsia="宋体"/>
          <w:b w:val="0"/>
          <w:i w:val="0"/>
          <w:sz w:val="18"/>
          <w:szCs w:val="18"/>
        </w:rPr>
      </w:pPr>
    </w:p>
    <w:p w14:paraId="1BCE728C">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bCs/>
          <w:i w:val="0"/>
          <w:sz w:val="32"/>
          <w:szCs w:val="32"/>
        </w:rPr>
      </w:pPr>
      <w:r>
        <w:rPr>
          <w:rFonts w:hint="eastAsia" w:ascii="Times New Roman" w:hAnsi="Times New Roman" w:eastAsia="宋体"/>
          <w:b/>
          <w:bCs/>
          <w:i w:val="0"/>
          <w:sz w:val="32"/>
          <w:szCs w:val="32"/>
        </w:rPr>
        <w:t>Framework Design of Information Collaborative AI Agent for Real Estate Project Teams</w:t>
      </w:r>
    </w:p>
    <w:p w14:paraId="7C1455FB">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hint="eastAsia" w:ascii="Times New Roman" w:hAnsi="Times New Roman" w:eastAsia="宋体"/>
          <w:b w:val="0"/>
          <w:i w:val="0"/>
          <w:sz w:val="21"/>
          <w:szCs w:val="21"/>
        </w:rPr>
      </w:pPr>
      <w:r>
        <w:rPr>
          <w:rFonts w:hint="eastAsia" w:ascii="Times New Roman" w:hAnsi="Times New Roman" w:eastAsia="宋体"/>
          <w:b w:val="0"/>
          <w:i w:val="0"/>
          <w:sz w:val="21"/>
          <w:szCs w:val="21"/>
        </w:rPr>
        <w:t>GAO Haitao</w:t>
      </w:r>
    </w:p>
    <w:p w14:paraId="7A4612B6">
      <w:pPr>
        <w:keepNext w:val="0"/>
        <w:keepLines w:val="0"/>
        <w:pageBreakBefore w:val="0"/>
        <w:widowControl/>
        <w:kinsoku/>
        <w:wordWrap/>
        <w:overflowPunct w:val="0"/>
        <w:topLinePunct w:val="0"/>
        <w:autoSpaceDE/>
        <w:autoSpaceDN/>
        <w:bidi w:val="0"/>
        <w:adjustRightInd/>
        <w:snapToGrid/>
        <w:spacing w:after="0" w:line="240" w:lineRule="auto"/>
        <w:jc w:val="center"/>
        <w:textAlignment w:val="auto"/>
        <w:rPr>
          <w:rFonts w:ascii="Times New Roman" w:hAnsi="Times New Roman" w:eastAsia="宋体"/>
          <w:b w:val="0"/>
          <w:i w:val="0"/>
          <w:sz w:val="21"/>
          <w:szCs w:val="21"/>
        </w:rPr>
      </w:pPr>
      <w:r>
        <w:rPr>
          <w:rFonts w:hint="eastAsia" w:ascii="Times New Roman" w:hAnsi="Times New Roman" w:eastAsia="宋体"/>
          <w:b w:val="0"/>
          <w:i w:val="0"/>
          <w:sz w:val="21"/>
          <w:szCs w:val="21"/>
        </w:rPr>
        <w:t>(Weiye Buletown Holdings Co., Ltd., Hangzhou, Zhejiang 310000, China)</w:t>
      </w:r>
    </w:p>
    <w:p w14:paraId="417CB597">
      <w:pPr>
        <w:keepNext w:val="0"/>
        <w:keepLines w:val="0"/>
        <w:pageBreakBefore w:val="0"/>
        <w:widowControl/>
        <w:kinsoku/>
        <w:wordWrap/>
        <w:overflowPunct/>
        <w:topLinePunct w:val="0"/>
        <w:autoSpaceDE/>
        <w:autoSpaceDN/>
        <w:bidi w:val="0"/>
        <w:adjustRightInd/>
        <w:snapToGrid/>
        <w:spacing w:after="0" w:line="300" w:lineRule="auto"/>
        <w:jc w:val="left"/>
        <w:textAlignment w:val="auto"/>
        <w:rPr>
          <w:rFonts w:hint="default" w:ascii="Times New Roman" w:hAnsi="Times New Roman" w:eastAsia="宋体" w:cs="Times New Roman"/>
          <w:b w:val="0"/>
          <w:i w:val="0"/>
          <w:snapToGrid w:val="0"/>
          <w:position w:val="0"/>
          <w:sz w:val="18"/>
          <w:szCs w:val="18"/>
        </w:rPr>
      </w:pPr>
      <w:r>
        <w:rPr>
          <w:rFonts w:hint="eastAsia" w:ascii="Times New Roman" w:hAnsi="Times New Roman" w:eastAsia="宋体" w:cs="Times New Roman"/>
          <w:b/>
          <w:bCs/>
          <w:i w:val="0"/>
          <w:sz w:val="18"/>
          <w:szCs w:val="18"/>
          <w:lang w:eastAsia="zh-CN"/>
        </w:rPr>
        <w:t>【</w:t>
      </w:r>
      <w:r>
        <w:rPr>
          <w:rFonts w:hint="default" w:ascii="Times New Roman" w:hAnsi="Times New Roman" w:eastAsia="宋体" w:cs="Times New Roman"/>
          <w:b/>
          <w:bCs/>
          <w:i w:val="0"/>
          <w:sz w:val="18"/>
          <w:szCs w:val="18"/>
        </w:rPr>
        <w:t>Abstract</w:t>
      </w:r>
      <w:r>
        <w:rPr>
          <w:rFonts w:hint="eastAsia" w:ascii="Times New Roman" w:hAnsi="Times New Roman" w:eastAsia="宋体" w:cs="Times New Roman"/>
          <w:b/>
          <w:bCs/>
          <w:i w:val="0"/>
          <w:sz w:val="18"/>
          <w:szCs w:val="18"/>
          <w:lang w:eastAsia="zh-CN"/>
        </w:rPr>
        <w:t>】</w:t>
      </w:r>
      <w:r>
        <w:rPr>
          <w:rFonts w:hint="default" w:ascii="Times New Roman" w:hAnsi="Times New Roman" w:eastAsia="宋体" w:cs="Times New Roman"/>
          <w:b w:val="0"/>
          <w:i w:val="0"/>
          <w:sz w:val="18"/>
          <w:szCs w:val="18"/>
          <w:lang w:val="en-US" w:eastAsia="zh-CN"/>
        </w:rPr>
        <w:t xml:space="preserve"> </w:t>
      </w:r>
      <w:r>
        <w:rPr>
          <w:rFonts w:hint="default" w:ascii="Times New Roman" w:hAnsi="Times New Roman" w:eastAsia="宋体" w:cs="Times New Roman"/>
          <w:b w:val="0"/>
          <w:i w:val="0"/>
          <w:sz w:val="18"/>
          <w:szCs w:val="18"/>
        </w:rPr>
        <w:t xml:space="preserve">With the advancement of large‑language models and AI Agent technologies, artificial intelligence is evolving from single‑point task assistance to complex business collaboration. Targeting the characteristics of real‑estate projects, such as multi‑source heterogeneous data, dynamically shifting statuses, complex business rules, and clearly defined organizational authority and responsibilities, this paper constructs a domain‑management‑structure‑driven team‑oriented agent framework. It incorporates full‑project panoramic information, domain knowledge and organizational rules into the runtime system, and introduces a domain‑specific autonomous task‑orchestration mechanism to realize information‑collaboration capabilities oriented toward team cooperation. Based on the implemented Emily system, its implementation approach is validated through two practical cases: garden pavement acceptance and cross‑departmental soft‑furnishing quality traceability. Practical results show that the proposed framework can break the application paradigm of traditional AI tools designed for individual users and single tasks, offering a feasible engineering practice path for AI to evolve from personal‑productivity tools into team‑collaboration </w:t>
      </w:r>
      <w:r>
        <w:rPr>
          <w:rFonts w:hint="default" w:ascii="Times New Roman" w:hAnsi="Times New Roman" w:eastAsia="宋体" w:cs="Times New Roman"/>
          <w:b w:val="0"/>
          <w:i w:val="0"/>
          <w:snapToGrid w:val="0"/>
          <w:position w:val="0"/>
          <w:sz w:val="18"/>
          <w:szCs w:val="18"/>
        </w:rPr>
        <w:t>enterprise‑intelligent infrastructure.</w:t>
      </w:r>
    </w:p>
    <w:p w14:paraId="211419D5">
      <w:pPr>
        <w:keepNext w:val="0"/>
        <w:keepLines w:val="0"/>
        <w:pageBreakBefore w:val="0"/>
        <w:widowControl/>
        <w:kinsoku/>
        <w:wordWrap/>
        <w:overflowPunct/>
        <w:topLinePunct w:val="0"/>
        <w:autoSpaceDE/>
        <w:autoSpaceDN/>
        <w:bidi w:val="0"/>
        <w:adjustRightInd/>
        <w:snapToGrid/>
        <w:spacing w:after="0" w:line="300" w:lineRule="auto"/>
        <w:jc w:val="left"/>
        <w:textAlignment w:val="auto"/>
        <w:rPr>
          <w:rFonts w:hint="eastAsia" w:ascii="Times New Roman" w:hAnsi="Times New Roman" w:eastAsia="宋体" w:cs="Times New Roman"/>
          <w:b/>
          <w:bCs/>
          <w:i w:val="0"/>
          <w:snapToGrid w:val="0"/>
          <w:position w:val="0"/>
          <w:sz w:val="18"/>
          <w:szCs w:val="18"/>
          <w:lang w:val="en-US" w:eastAsia="zh-CN"/>
        </w:rPr>
      </w:pPr>
      <w:r>
        <w:rPr>
          <w:rFonts w:hint="eastAsia" w:ascii="Times New Roman" w:hAnsi="Times New Roman" w:eastAsia="宋体" w:cs="Times New Roman"/>
          <w:b/>
          <w:bCs/>
          <w:i w:val="0"/>
          <w:snapToGrid w:val="0"/>
          <w:position w:val="0"/>
          <w:sz w:val="18"/>
          <w:szCs w:val="18"/>
          <w:lang w:val="en-US" w:eastAsia="zh-CN"/>
        </w:rPr>
        <w:t>【Keyworlds】</w:t>
      </w:r>
      <w:r>
        <w:rPr>
          <w:rFonts w:hint="eastAsia" w:ascii="Times New Roman" w:hAnsi="Times New Roman" w:eastAsia="宋体" w:cs="Times New Roman"/>
          <w:b w:val="0"/>
          <w:bCs w:val="0"/>
          <w:i w:val="0"/>
          <w:snapToGrid w:val="0"/>
          <w:position w:val="0"/>
          <w:sz w:val="18"/>
          <w:szCs w:val="18"/>
          <w:lang w:val="en-US" w:eastAsia="zh-CN"/>
        </w:rPr>
        <w:t>Agent; Information Collaboration; Project Management; Knowledge Management; Large Language Models; Real‑estate Projects</w:t>
      </w:r>
    </w:p>
    <w:p w14:paraId="459AAC60">
      <w:pPr>
        <w:keepNext w:val="0"/>
        <w:keepLines w:val="0"/>
        <w:pageBreakBefore w:val="0"/>
        <w:widowControl/>
        <w:kinsoku/>
        <w:wordWrap/>
        <w:overflowPunct/>
        <w:topLinePunct w:val="0"/>
        <w:autoSpaceDE/>
        <w:autoSpaceDN/>
        <w:bidi w:val="0"/>
        <w:adjustRightInd w:val="0"/>
        <w:snapToGrid w:val="0"/>
        <w:spacing w:before="289" w:beforeLines="80" w:after="145" w:afterLines="40" w:line="300" w:lineRule="auto"/>
        <w:ind w:firstLine="0"/>
        <w:jc w:val="left"/>
        <w:textAlignment w:val="auto"/>
        <w:rPr>
          <w:rFonts w:hint="eastAsia" w:ascii="Times New Roman" w:hAnsi="Times New Roman" w:eastAsia="宋体"/>
          <w:b/>
          <w:bCs/>
          <w:i w:val="0"/>
          <w:sz w:val="21"/>
        </w:rPr>
      </w:pPr>
      <w:r>
        <w:rPr>
          <w:rFonts w:hint="eastAsia" w:ascii="Times New Roman" w:hAnsi="Times New Roman" w:eastAsia="宋体"/>
          <w:b/>
          <w:bCs/>
          <w:i w:val="0"/>
          <w:sz w:val="21"/>
        </w:rPr>
        <w:t>1 引言</w:t>
      </w:r>
    </w:p>
    <w:p w14:paraId="5782549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1.1 问题背景</w:t>
      </w:r>
    </w:p>
    <w:p w14:paraId="7F5E5B5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4AA00CB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1.2 地产项目团队的信息结构特征</w:t>
      </w:r>
    </w:p>
    <w:p w14:paraId="31FB30F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14:paraId="0969D905">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表1 地产项目管理特征与Agent技术需求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3"/>
        <w:gridCol w:w="4237"/>
        <w:gridCol w:w="3120"/>
      </w:tblGrid>
      <w:tr w14:paraId="44B9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3" w:type="dxa"/>
            <w:shd w:val="clear" w:color="auto" w:fill="F2F2F2"/>
            <w:tcMar>
              <w:top w:w="80" w:type="dxa"/>
              <w:left w:w="120" w:type="dxa"/>
              <w:bottom w:w="80" w:type="dxa"/>
              <w:right w:w="120" w:type="dxa"/>
            </w:tcMar>
          </w:tcPr>
          <w:p w14:paraId="67F9CF2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地产项目特征</w:t>
            </w:r>
          </w:p>
        </w:tc>
        <w:tc>
          <w:tcPr>
            <w:tcW w:w="4237" w:type="dxa"/>
            <w:shd w:val="clear" w:color="auto" w:fill="F2F2F2"/>
            <w:tcMar>
              <w:top w:w="80" w:type="dxa"/>
              <w:left w:w="120" w:type="dxa"/>
              <w:bottom w:w="80" w:type="dxa"/>
              <w:right w:w="120" w:type="dxa"/>
            </w:tcMar>
          </w:tcPr>
          <w:p w14:paraId="4FCA891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典型表现</w:t>
            </w:r>
          </w:p>
        </w:tc>
        <w:tc>
          <w:tcPr>
            <w:tcW w:w="3120" w:type="dxa"/>
            <w:shd w:val="clear" w:color="auto" w:fill="F2F2F2"/>
            <w:tcMar>
              <w:top w:w="80" w:type="dxa"/>
              <w:left w:w="120" w:type="dxa"/>
              <w:bottom w:w="80" w:type="dxa"/>
              <w:right w:w="120" w:type="dxa"/>
            </w:tcMar>
          </w:tcPr>
          <w:p w14:paraId="3AFA6B4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Agent技术需求</w:t>
            </w:r>
          </w:p>
        </w:tc>
      </w:tr>
      <w:tr w14:paraId="6008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5483EA9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状态动态</w:t>
            </w:r>
          </w:p>
        </w:tc>
        <w:tc>
          <w:tcPr>
            <w:tcW w:w="4237" w:type="dxa"/>
            <w:shd w:val="clear" w:color="auto" w:fill="FFFFFF"/>
            <w:tcMar>
              <w:top w:w="80" w:type="dxa"/>
              <w:left w:w="120" w:type="dxa"/>
              <w:bottom w:w="80" w:type="dxa"/>
              <w:right w:w="120" w:type="dxa"/>
            </w:tcMar>
          </w:tcPr>
          <w:p w14:paraId="69E2E2C2">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节点持续推进、状态存在合法转移关系</w:t>
            </w:r>
          </w:p>
        </w:tc>
        <w:tc>
          <w:tcPr>
            <w:tcW w:w="3120" w:type="dxa"/>
            <w:shd w:val="clear" w:color="auto" w:fill="FFFFFF"/>
            <w:tcMar>
              <w:top w:w="80" w:type="dxa"/>
              <w:left w:w="120" w:type="dxa"/>
              <w:bottom w:w="80" w:type="dxa"/>
              <w:right w:w="120" w:type="dxa"/>
            </w:tcMar>
          </w:tcPr>
          <w:p w14:paraId="7670BA4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动态状态感知</w:t>
            </w:r>
          </w:p>
        </w:tc>
      </w:tr>
      <w:tr w14:paraId="67EA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F0C85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信息多源</w:t>
            </w:r>
          </w:p>
        </w:tc>
        <w:tc>
          <w:tcPr>
            <w:tcW w:w="4237" w:type="dxa"/>
            <w:shd w:val="clear" w:color="auto" w:fill="FFFFFF"/>
            <w:tcMar>
              <w:top w:w="80" w:type="dxa"/>
              <w:left w:w="120" w:type="dxa"/>
              <w:bottom w:w="80" w:type="dxa"/>
              <w:right w:w="120" w:type="dxa"/>
            </w:tcMar>
          </w:tcPr>
          <w:p w14:paraId="738AF344">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IM、会议、文件、DB、事件日志等并存</w:t>
            </w:r>
          </w:p>
        </w:tc>
        <w:tc>
          <w:tcPr>
            <w:tcW w:w="3120" w:type="dxa"/>
            <w:shd w:val="clear" w:color="auto" w:fill="FFFFFF"/>
            <w:tcMar>
              <w:top w:w="80" w:type="dxa"/>
              <w:left w:w="120" w:type="dxa"/>
              <w:bottom w:w="80" w:type="dxa"/>
              <w:right w:w="120" w:type="dxa"/>
            </w:tcMar>
          </w:tcPr>
          <w:p w14:paraId="5F4B0AA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团队公共认知与多源关联</w:t>
            </w:r>
          </w:p>
        </w:tc>
      </w:tr>
      <w:tr w14:paraId="6A58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022FE46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流程标准化</w:t>
            </w:r>
          </w:p>
        </w:tc>
        <w:tc>
          <w:tcPr>
            <w:tcW w:w="4237" w:type="dxa"/>
            <w:shd w:val="clear" w:color="auto" w:fill="FFFFFF"/>
            <w:tcMar>
              <w:top w:w="80" w:type="dxa"/>
              <w:left w:w="120" w:type="dxa"/>
              <w:bottom w:w="80" w:type="dxa"/>
              <w:right w:w="120" w:type="dxa"/>
            </w:tcMar>
          </w:tcPr>
          <w:p w14:paraId="2D4B29A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SOP、验收标准、合同规则等约束业务执行</w:t>
            </w:r>
          </w:p>
        </w:tc>
        <w:tc>
          <w:tcPr>
            <w:tcW w:w="3120" w:type="dxa"/>
            <w:shd w:val="clear" w:color="auto" w:fill="FFFFFF"/>
            <w:tcMar>
              <w:top w:w="80" w:type="dxa"/>
              <w:left w:w="120" w:type="dxa"/>
              <w:bottom w:w="80" w:type="dxa"/>
              <w:right w:w="120" w:type="dxa"/>
            </w:tcMar>
          </w:tcPr>
          <w:p w14:paraId="4C1A2CC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业务能力封装与受控执行</w:t>
            </w:r>
          </w:p>
        </w:tc>
      </w:tr>
      <w:tr w14:paraId="31DF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shd w:val="clear" w:color="auto" w:fill="FFFFFF"/>
            <w:tcMar>
              <w:top w:w="80" w:type="dxa"/>
              <w:left w:w="120" w:type="dxa"/>
              <w:bottom w:w="80" w:type="dxa"/>
              <w:right w:w="120" w:type="dxa"/>
            </w:tcMar>
          </w:tcPr>
          <w:p w14:paraId="1483DA37">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组织权责明确</w:t>
            </w:r>
          </w:p>
        </w:tc>
        <w:tc>
          <w:tcPr>
            <w:tcW w:w="4237" w:type="dxa"/>
            <w:shd w:val="clear" w:color="auto" w:fill="FFFFFF"/>
            <w:tcMar>
              <w:top w:w="80" w:type="dxa"/>
              <w:left w:w="120" w:type="dxa"/>
              <w:bottom w:w="80" w:type="dxa"/>
              <w:right w:w="120" w:type="dxa"/>
            </w:tcMar>
          </w:tcPr>
          <w:p w14:paraId="3F69C4C9">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不同角色拥有不同资源访问和业务责任</w:t>
            </w:r>
          </w:p>
        </w:tc>
        <w:tc>
          <w:tcPr>
            <w:tcW w:w="3120" w:type="dxa"/>
            <w:shd w:val="clear" w:color="auto" w:fill="FFFFFF"/>
            <w:tcMar>
              <w:top w:w="80" w:type="dxa"/>
              <w:left w:w="120" w:type="dxa"/>
              <w:bottom w:w="80" w:type="dxa"/>
              <w:right w:w="120" w:type="dxa"/>
            </w:tcMar>
          </w:tcPr>
          <w:p w14:paraId="3BE902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权限核验与人工责任边界</w:t>
            </w:r>
          </w:p>
        </w:tc>
      </w:tr>
    </w:tbl>
    <w:p w14:paraId="7AFD884A">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0A7940D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37E2861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1.3 研究问题与研究思路</w:t>
      </w:r>
    </w:p>
    <w:p w14:paraId="0CFD3E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围绕上述需求，本文主要研究三个问题：</w:t>
      </w:r>
    </w:p>
    <w:p w14:paraId="2DD4F87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RQ1： 如何将地产项目管理中的状态、信息、规则、流程、能力与组织权责转化为Agent可处理的技术对象？</w:t>
      </w:r>
    </w:p>
    <w:p w14:paraId="268352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RQ2： 如何将这些技术对象组织为团队级公共认知与受控业务执行框架？</w:t>
      </w:r>
    </w:p>
    <w:p w14:paraId="1CD0C3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RQ3： 如何在自然语言交互和灵活能力组合的同时保持流程、权限和人工责任边界？</w:t>
      </w:r>
    </w:p>
    <w:p w14:paraId="6CA1193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本文采用“问题识别</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管理要素抽象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Agent对象映射</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框架设计</w:t>
      </w:r>
      <w:r>
        <w:rPr>
          <w:rFonts w:hint="eastAsia" w:ascii="宋体" w:hAnsi="宋体" w:eastAsia="宋体" w:cs="宋体"/>
          <w:b w:val="0"/>
          <w:i w:val="0"/>
          <w:sz w:val="21"/>
          <w:szCs w:val="21"/>
          <w:lang w:val="en-US" w:eastAsia="zh-CN"/>
        </w:rPr>
        <w:t xml:space="preserve"> </w:t>
      </w:r>
      <w:r>
        <w:rPr>
          <w:rFonts w:hint="eastAsia" w:ascii="宋体" w:hAnsi="宋体" w:eastAsia="宋体" w:cs="宋体"/>
          <w:b w:val="0"/>
          <w:i w:val="0"/>
          <w:sz w:val="21"/>
          <w:szCs w:val="21"/>
        </w:rPr>
        <w:t>—</w:t>
      </w:r>
      <w:r>
        <w:rPr>
          <w:rFonts w:hint="eastAsia" w:ascii="宋体" w:hAnsi="宋体" w:eastAsia="宋体" w:cs="宋体"/>
          <w:b w:val="0"/>
          <w:i w:val="0"/>
          <w:sz w:val="21"/>
          <w:szCs w:val="21"/>
          <w:lang w:val="en-US" w:eastAsia="zh-CN"/>
        </w:rPr>
        <w:t>&gt;</w:t>
      </w:r>
      <w:r>
        <w:rPr>
          <w:rFonts w:hint="eastAsia" w:ascii="宋体" w:hAnsi="宋体" w:eastAsia="宋体" w:cs="宋体"/>
          <w:b w:val="0"/>
          <w:i w:val="0"/>
          <w:sz w:val="21"/>
          <w:szCs w:val="21"/>
        </w:rPr>
        <w:t>工程应用说明”的研究思路。本文第三章解决“如何由地产管理结构推导Agent对象”，第四章回答“如何构建具体框架”，第五章通过工程实例说明框架如何落地。</w:t>
      </w:r>
    </w:p>
    <w:p w14:paraId="2E2DECD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1.4 研究贡献</w:t>
      </w:r>
    </w:p>
    <w:p w14:paraId="3C4A3BC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本文不以提出新的基础模型或底层算法为目标，而关注通用AI Agent向垂直行业团队应用过程中所需要的领域化工程重构。本文的工作核心是以领域管理结构为驱动的Agent框架构建与工程实现，主要体现在两个方面。</w:t>
      </w:r>
    </w:p>
    <w:p w14:paraId="5CF9EE4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第一，建立地产管理要素向Agent技术对象的映射方法。将项目状态、过程信息、组织规则、业务流程、系统工具、复合请求以及组织权责等要素，分别映射为状态空间、公共认知对象、能力单元 and 任务单元，使领域管理结构成为Agent框架设计的依据。</w:t>
      </w:r>
    </w:p>
    <w:p w14:paraId="1F645BC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第二，在上述映射基础上形成信息协同型AI智能体框架，由三书认知基座、LLM增强FSM、Skill化SOP和三智能体协作机制共同实现“认知—感知—执行—核验”的技术链，并结合实际业务实例说明其工程落地方式。</w:t>
      </w:r>
    </w:p>
    <w:p w14:paraId="0646E1DC">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2 技术基础与问题抽象</w:t>
      </w:r>
    </w:p>
    <w:p w14:paraId="112C8C3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2.1 AI Agent相关技术基础</w:t>
      </w:r>
    </w:p>
    <w:p w14:paraId="008D2C0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现有AI Agent工程研究已经形成状态管理、工作流、知识检索、记忆、工具调用和多智能体协作等技术路径。StateFlow将LLM任务建模为状态驱动工作流，MetaGPT展示了SOP与角色分工并支持多Agent协作，RAG主要支持外部知识检索，Agent Memory研究则围绕长期信息的组织与利用展开，工具调用技术则使模型能够学习使用外部工具。这些机制解决了Agent“知道什么、处于什么状态、可以做什么以及如何协作”等问题，但并未直接回答地产项目中的状态、过程信息、规则、SOP和组织权责应如何组织。</w:t>
      </w:r>
    </w:p>
    <w:p w14:paraId="16B2CF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2.2 团队公共认知问题</w:t>
      </w:r>
    </w:p>
    <w:p w14:paraId="71140AF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个人Agent的Memory主要服务于当前用户或当前会话，而项目团队需要的是面向多个成员持续积累的公共信息环境，近期研究已开始关注多用户环境下共享与持久记忆的组织方式。组织知识创造理论强调知识源于个体经验的显性化与组织化，而AI的介入正在改变组织知识的获取与转化过程。团队公共认知至少同时包含项目态势、组织规则和系统能力三类内容，三者生命周期不同，不适合全部压缩为一种扁平化记忆。这构成本文提出三书认知基座的直接问题来源。</w:t>
      </w:r>
    </w:p>
    <w:p w14:paraId="279AECD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14:paraId="6E2879A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75FB37B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6B8626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2.3 工程信息化实践</w:t>
      </w:r>
    </w:p>
    <w:p w14:paraId="6AF9EE3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传统工程信息化系统擅长结构化数据和标准流程，但自然语言沟通、非预设任务和跨来源关联仍大量依赖人员。工程AI实践也多集中于BIM、进度、质量等单点任务。由此形成“个人AI工具—组织数字化系统”的衔接缺口：前者灵活，后者组织化，但两者之间缺少能够持续进入项目日常信息流并结合责任边界运行的Agent层。</w:t>
      </w:r>
    </w:p>
    <w:p w14:paraId="363BC15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2.4 技术缺口与本文定位</w:t>
      </w:r>
    </w:p>
    <w:p w14:paraId="6C876E2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综合上述基础，可以将现有成熟技术与地产团队需求之间的缺口概括如下。</w:t>
      </w:r>
    </w:p>
    <w:p w14:paraId="461A927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表2 现有技术与地产团队需求之间的主要缺口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917"/>
        <w:gridCol w:w="3008"/>
        <w:gridCol w:w="2910"/>
      </w:tblGrid>
      <w:tr w14:paraId="67AB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2F2F2"/>
            <w:tcMar>
              <w:top w:w="80" w:type="dxa"/>
              <w:left w:w="120" w:type="dxa"/>
              <w:bottom w:w="80" w:type="dxa"/>
              <w:right w:w="120" w:type="dxa"/>
            </w:tcMar>
          </w:tcPr>
          <w:p w14:paraId="586354F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技术方向</w:t>
            </w:r>
          </w:p>
        </w:tc>
        <w:tc>
          <w:tcPr>
            <w:tcW w:w="1917" w:type="dxa"/>
            <w:shd w:val="clear" w:color="auto" w:fill="F2F2F2"/>
            <w:tcMar>
              <w:top w:w="80" w:type="dxa"/>
              <w:left w:w="120" w:type="dxa"/>
              <w:bottom w:w="80" w:type="dxa"/>
              <w:right w:w="120" w:type="dxa"/>
            </w:tcMar>
          </w:tcPr>
          <w:p w14:paraId="3386177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已解决问题</w:t>
            </w:r>
          </w:p>
        </w:tc>
        <w:tc>
          <w:tcPr>
            <w:tcW w:w="3008" w:type="dxa"/>
            <w:shd w:val="clear" w:color="auto" w:fill="F2F2F2"/>
            <w:tcMar>
              <w:top w:w="80" w:type="dxa"/>
              <w:left w:w="120" w:type="dxa"/>
              <w:bottom w:w="80" w:type="dxa"/>
              <w:right w:w="120" w:type="dxa"/>
            </w:tcMar>
          </w:tcPr>
          <w:p w14:paraId="4E1E494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面向地产团队的进一步问题</w:t>
            </w:r>
          </w:p>
        </w:tc>
        <w:tc>
          <w:tcPr>
            <w:tcW w:w="2910" w:type="dxa"/>
            <w:shd w:val="clear" w:color="auto" w:fill="F2F2F2"/>
            <w:tcMar>
              <w:top w:w="80" w:type="dxa"/>
              <w:left w:w="120" w:type="dxa"/>
              <w:bottom w:w="80" w:type="dxa"/>
              <w:right w:w="120" w:type="dxa"/>
            </w:tcMar>
          </w:tcPr>
          <w:p w14:paraId="7492F25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本文对应机制</w:t>
            </w:r>
          </w:p>
        </w:tc>
      </w:tr>
      <w:tr w14:paraId="39ED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2AE50FC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RAG</w:t>
            </w:r>
          </w:p>
        </w:tc>
        <w:tc>
          <w:tcPr>
            <w:tcW w:w="1917" w:type="dxa"/>
            <w:shd w:val="clear" w:color="auto" w:fill="FFFFFF"/>
            <w:tcMar>
              <w:top w:w="80" w:type="dxa"/>
              <w:left w:w="120" w:type="dxa"/>
              <w:bottom w:w="80" w:type="dxa"/>
              <w:right w:w="120" w:type="dxa"/>
            </w:tcMar>
          </w:tcPr>
          <w:p w14:paraId="7F57EB93">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外部知识检索</w:t>
            </w:r>
          </w:p>
        </w:tc>
        <w:tc>
          <w:tcPr>
            <w:tcW w:w="3008" w:type="dxa"/>
            <w:shd w:val="clear" w:color="auto" w:fill="FFFFFF"/>
            <w:tcMar>
              <w:top w:w="80" w:type="dxa"/>
              <w:left w:w="120" w:type="dxa"/>
              <w:bottom w:w="80" w:type="dxa"/>
              <w:right w:w="120" w:type="dxa"/>
            </w:tcMar>
          </w:tcPr>
          <w:p w14:paraId="4703C89B">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难以独立表达动态项目态势</w:t>
            </w:r>
          </w:p>
        </w:tc>
        <w:tc>
          <w:tcPr>
            <w:tcW w:w="2910" w:type="dxa"/>
            <w:shd w:val="clear" w:color="auto" w:fill="FFFFFF"/>
            <w:tcMar>
              <w:top w:w="80" w:type="dxa"/>
              <w:left w:w="120" w:type="dxa"/>
              <w:bottom w:w="80" w:type="dxa"/>
              <w:right w:w="120" w:type="dxa"/>
            </w:tcMar>
          </w:tcPr>
          <w:p w14:paraId="3EF322C2">
            <w:pPr>
              <w:keepNext w:val="0"/>
              <w:keepLines w:val="0"/>
              <w:pageBreakBefore w:val="0"/>
              <w:widowControl/>
              <w:kinsoku/>
              <w:wordWrap/>
              <w:topLinePunct w:val="0"/>
              <w:autoSpaceDE/>
              <w:autoSpaceDN/>
              <w:bidi w:val="0"/>
              <w:adjustRightInd/>
              <w:snapToGrid/>
              <w:spacing w:after="0" w:line="240" w:lineRule="auto"/>
              <w:jc w:val="center"/>
              <w:textAlignment w:val="auto"/>
              <w:rPr>
                <w:rFonts w:hint="default" w:ascii="宋体" w:hAnsi="宋体" w:eastAsia="宋体" w:cs="宋体"/>
                <w:sz w:val="21"/>
                <w:szCs w:val="21"/>
                <w:lang w:val="en-US" w:eastAsia="zh-CN"/>
              </w:rPr>
            </w:pPr>
            <w:r>
              <w:rPr>
                <w:rFonts w:hint="eastAsia" w:ascii="宋体" w:hAnsi="宋体" w:eastAsia="宋体" w:cs="宋体"/>
                <w:b w:val="0"/>
                <w:i w:val="0"/>
                <w:sz w:val="21"/>
                <w:szCs w:val="21"/>
              </w:rPr>
              <w:t>三书认知组织 + RAG/D</w:t>
            </w:r>
            <w:r>
              <w:rPr>
                <w:rFonts w:hint="eastAsia" w:ascii="宋体" w:hAnsi="宋体" w:eastAsia="宋体" w:cs="宋体"/>
                <w:b w:val="0"/>
                <w:i w:val="0"/>
                <w:sz w:val="21"/>
                <w:szCs w:val="21"/>
                <w:lang w:val="en-US" w:eastAsia="zh-CN"/>
              </w:rPr>
              <w:t>B/MinIO</w:t>
            </w:r>
          </w:p>
        </w:tc>
      </w:tr>
      <w:tr w14:paraId="0CFD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D00517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Memory</w:t>
            </w:r>
          </w:p>
        </w:tc>
        <w:tc>
          <w:tcPr>
            <w:tcW w:w="1917" w:type="dxa"/>
            <w:shd w:val="clear" w:color="auto" w:fill="FFFFFF"/>
            <w:tcMar>
              <w:top w:w="80" w:type="dxa"/>
              <w:left w:w="120" w:type="dxa"/>
              <w:bottom w:w="80" w:type="dxa"/>
              <w:right w:w="120" w:type="dxa"/>
            </w:tcMar>
          </w:tcPr>
          <w:p w14:paraId="280730E6">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长期信息组织</w:t>
            </w:r>
          </w:p>
        </w:tc>
        <w:tc>
          <w:tcPr>
            <w:tcW w:w="3008" w:type="dxa"/>
            <w:shd w:val="clear" w:color="auto" w:fill="FFFFFF"/>
            <w:tcMar>
              <w:top w:w="80" w:type="dxa"/>
              <w:left w:w="120" w:type="dxa"/>
              <w:bottom w:w="80" w:type="dxa"/>
              <w:right w:w="120" w:type="dxa"/>
            </w:tcMar>
          </w:tcPr>
          <w:p w14:paraId="50A6A305">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缺少团队公共认知结构</w:t>
            </w:r>
          </w:p>
        </w:tc>
        <w:tc>
          <w:tcPr>
            <w:tcW w:w="2910" w:type="dxa"/>
            <w:shd w:val="clear" w:color="auto" w:fill="FFFFFF"/>
            <w:tcMar>
              <w:top w:w="80" w:type="dxa"/>
              <w:left w:w="120" w:type="dxa"/>
              <w:bottom w:w="80" w:type="dxa"/>
              <w:right w:w="120" w:type="dxa"/>
            </w:tcMar>
          </w:tcPr>
          <w:p w14:paraId="40F2E1A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三书认知基座</w:t>
            </w:r>
          </w:p>
        </w:tc>
      </w:tr>
      <w:tr w14:paraId="11A8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5B0F680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FSM/Workflow</w:t>
            </w:r>
          </w:p>
        </w:tc>
        <w:tc>
          <w:tcPr>
            <w:tcW w:w="1917" w:type="dxa"/>
            <w:shd w:val="clear" w:color="auto" w:fill="FFFFFF"/>
            <w:tcMar>
              <w:top w:w="80" w:type="dxa"/>
              <w:left w:w="120" w:type="dxa"/>
              <w:bottom w:w="80" w:type="dxa"/>
              <w:right w:w="120" w:type="dxa"/>
            </w:tcMar>
          </w:tcPr>
          <w:p w14:paraId="186813D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状态与流程管理</w:t>
            </w:r>
          </w:p>
        </w:tc>
        <w:tc>
          <w:tcPr>
            <w:tcW w:w="3008" w:type="dxa"/>
            <w:shd w:val="clear" w:color="auto" w:fill="FFFFFF"/>
            <w:tcMar>
              <w:top w:w="80" w:type="dxa"/>
              <w:left w:w="120" w:type="dxa"/>
              <w:bottom w:w="80" w:type="dxa"/>
              <w:right w:w="120" w:type="dxa"/>
            </w:tcMar>
          </w:tcPr>
          <w:p w14:paraId="04169D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缺少项目节点与成果约束</w:t>
            </w:r>
          </w:p>
        </w:tc>
        <w:tc>
          <w:tcPr>
            <w:tcW w:w="2910" w:type="dxa"/>
            <w:shd w:val="clear" w:color="auto" w:fill="FFFFFF"/>
            <w:tcMar>
              <w:top w:w="80" w:type="dxa"/>
              <w:left w:w="120" w:type="dxa"/>
              <w:bottom w:w="80" w:type="dxa"/>
              <w:right w:w="120" w:type="dxa"/>
            </w:tcMar>
          </w:tcPr>
          <w:p w14:paraId="489BC5A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LLM增强FSM</w:t>
            </w:r>
          </w:p>
        </w:tc>
      </w:tr>
      <w:tr w14:paraId="6B33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0062BA7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Skill/Tool</w:t>
            </w:r>
          </w:p>
        </w:tc>
        <w:tc>
          <w:tcPr>
            <w:tcW w:w="1917" w:type="dxa"/>
            <w:shd w:val="clear" w:color="auto" w:fill="FFFFFF"/>
            <w:tcMar>
              <w:top w:w="80" w:type="dxa"/>
              <w:left w:w="120" w:type="dxa"/>
              <w:bottom w:w="80" w:type="dxa"/>
              <w:right w:w="120" w:type="dxa"/>
            </w:tcMar>
          </w:tcPr>
          <w:p w14:paraId="2D88ED6D">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工具与能力调用</w:t>
            </w:r>
          </w:p>
        </w:tc>
        <w:tc>
          <w:tcPr>
            <w:tcW w:w="3008" w:type="dxa"/>
            <w:shd w:val="clear" w:color="auto" w:fill="FFFFFF"/>
            <w:tcMar>
              <w:top w:w="80" w:type="dxa"/>
              <w:left w:w="120" w:type="dxa"/>
              <w:bottom w:w="80" w:type="dxa"/>
              <w:right w:w="120" w:type="dxa"/>
            </w:tcMar>
          </w:tcPr>
          <w:p w14:paraId="00FDCBD8">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企业SOP缺少统一Agent接口</w:t>
            </w:r>
          </w:p>
        </w:tc>
        <w:tc>
          <w:tcPr>
            <w:tcW w:w="2910" w:type="dxa"/>
            <w:shd w:val="clear" w:color="auto" w:fill="FFFFFF"/>
            <w:tcMar>
              <w:top w:w="80" w:type="dxa"/>
              <w:left w:w="120" w:type="dxa"/>
              <w:bottom w:w="80" w:type="dxa"/>
              <w:right w:w="120" w:type="dxa"/>
            </w:tcMar>
          </w:tcPr>
          <w:p w14:paraId="207067F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Skill化SOP</w:t>
            </w:r>
          </w:p>
        </w:tc>
      </w:tr>
      <w:tr w14:paraId="772A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shd w:val="clear" w:color="auto" w:fill="FFFFFF"/>
            <w:tcMar>
              <w:top w:w="80" w:type="dxa"/>
              <w:left w:w="120" w:type="dxa"/>
              <w:bottom w:w="80" w:type="dxa"/>
              <w:right w:w="120" w:type="dxa"/>
            </w:tcMar>
          </w:tcPr>
          <w:p w14:paraId="2F6840C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Multi-Agent</w:t>
            </w:r>
          </w:p>
        </w:tc>
        <w:tc>
          <w:tcPr>
            <w:tcW w:w="1917" w:type="dxa"/>
            <w:shd w:val="clear" w:color="auto" w:fill="FFFFFF"/>
            <w:tcMar>
              <w:top w:w="80" w:type="dxa"/>
              <w:left w:w="120" w:type="dxa"/>
              <w:bottom w:w="80" w:type="dxa"/>
              <w:right w:w="120" w:type="dxa"/>
            </w:tcMar>
          </w:tcPr>
          <w:p w14:paraId="5F4AC71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任务角色分工</w:t>
            </w:r>
          </w:p>
        </w:tc>
        <w:tc>
          <w:tcPr>
            <w:tcW w:w="3008" w:type="dxa"/>
            <w:shd w:val="clear" w:color="auto" w:fill="FFFFFF"/>
            <w:tcMar>
              <w:top w:w="80" w:type="dxa"/>
              <w:left w:w="120" w:type="dxa"/>
              <w:bottom w:w="80" w:type="dxa"/>
              <w:right w:w="120" w:type="dxa"/>
            </w:tcMar>
          </w:tcPr>
          <w:p w14:paraId="4850902C">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与组织权责缺少直接映射</w:t>
            </w:r>
          </w:p>
        </w:tc>
        <w:tc>
          <w:tcPr>
            <w:tcW w:w="2910" w:type="dxa"/>
            <w:shd w:val="clear" w:color="auto" w:fill="FFFFFF"/>
            <w:tcMar>
              <w:top w:w="80" w:type="dxa"/>
              <w:left w:w="120" w:type="dxa"/>
              <w:bottom w:w="80" w:type="dxa"/>
              <w:right w:w="120" w:type="dxa"/>
            </w:tcMar>
          </w:tcPr>
          <w:p w14:paraId="4704BB5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Session/WorkItem/Guardian</w:t>
            </w:r>
          </w:p>
        </w:tc>
      </w:tr>
    </w:tbl>
    <w:p w14:paraId="0D988A10">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2A2F0F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因此，本文不试图重新发明RAG、FSM、Tool Calling或Multi-Agent等基础技术，而是研究这些成熟机制如何按照地产项目管理结构重新组织，形成面向团队信息协同的领域化Agent框架。</w:t>
      </w:r>
    </w:p>
    <w:p w14:paraId="4915E535">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3 地产管理要素的Agent化框架建模</w:t>
      </w:r>
    </w:p>
    <w:p w14:paraId="72EFBCF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3.1 地产项目管理的信息要素</w:t>
      </w:r>
    </w:p>
    <w:p w14:paraId="76B7417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本文将地产项目管理中的主要信息对象抽象为七类：项目状态、过程事件、项目资料、组织规则、业务流程、人员关系和系</w:t>
      </w:r>
      <w:r>
        <w:rPr>
          <w:rFonts w:hint="eastAsia" w:ascii="宋体" w:hAnsi="宋体" w:eastAsia="宋体" w:cs="宋体"/>
          <w:b w:val="0"/>
          <w:bCs/>
          <w:i w:val="0"/>
          <w:sz w:val="21"/>
          <w:szCs w:val="21"/>
        </w:rPr>
        <w:t>统能力。它们既</w:t>
      </w:r>
      <w:r>
        <w:rPr>
          <w:rFonts w:hint="eastAsia" w:ascii="宋体" w:hAnsi="宋体" w:eastAsia="宋体" w:cs="宋体"/>
          <w:b w:val="0"/>
          <w:i w:val="0"/>
          <w:sz w:val="21"/>
          <w:szCs w:val="21"/>
        </w:rPr>
        <w:t>相互关联，又具有不同的数据形态和生命周期。例如状态强调时间与转移，规则强调约束，流程强调步骤与结果，能力则描述系统“能做什么”。因此，本文采用面向管理对象的分层映射，而非单一知识库。</w:t>
      </w:r>
    </w:p>
    <w:p w14:paraId="1F7F928F">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3.2 管理要素与Agent技术对象映射</w:t>
      </w:r>
    </w:p>
    <w:p w14:paraId="3982C43E">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表3 地产管理要素与Agent技术对象映射</w:t>
      </w:r>
    </w:p>
    <w:tbl>
      <w:tblPr>
        <w:tblStyle w:val="33"/>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048"/>
        <w:gridCol w:w="2040"/>
        <w:gridCol w:w="3225"/>
      </w:tblGrid>
      <w:tr w14:paraId="75D1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2F2F2"/>
            <w:tcMar>
              <w:top w:w="80" w:type="dxa"/>
              <w:left w:w="120" w:type="dxa"/>
              <w:bottom w:w="80" w:type="dxa"/>
              <w:right w:w="120" w:type="dxa"/>
            </w:tcMar>
          </w:tcPr>
          <w:p w14:paraId="6F5447B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地产管理要素</w:t>
            </w:r>
          </w:p>
        </w:tc>
        <w:tc>
          <w:tcPr>
            <w:tcW w:w="2048" w:type="dxa"/>
            <w:shd w:val="clear" w:color="auto" w:fill="F2F2F2"/>
            <w:tcMar>
              <w:top w:w="80" w:type="dxa"/>
              <w:left w:w="120" w:type="dxa"/>
              <w:bottom w:w="80" w:type="dxa"/>
              <w:right w:w="120" w:type="dxa"/>
            </w:tcMar>
          </w:tcPr>
          <w:p w14:paraId="086D8D8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Agent技术对象</w:t>
            </w:r>
          </w:p>
        </w:tc>
        <w:tc>
          <w:tcPr>
            <w:tcW w:w="2040" w:type="dxa"/>
            <w:shd w:val="clear" w:color="auto" w:fill="F2F2F2"/>
            <w:tcMar>
              <w:top w:w="80" w:type="dxa"/>
              <w:left w:w="120" w:type="dxa"/>
              <w:bottom w:w="80" w:type="dxa"/>
              <w:right w:w="120" w:type="dxa"/>
            </w:tcMar>
          </w:tcPr>
          <w:p w14:paraId="6760AC4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核心技术机制</w:t>
            </w:r>
          </w:p>
        </w:tc>
        <w:tc>
          <w:tcPr>
            <w:tcW w:w="3225" w:type="dxa"/>
            <w:shd w:val="clear" w:color="auto" w:fill="F2F2F2"/>
            <w:tcMar>
              <w:top w:w="80" w:type="dxa"/>
              <w:left w:w="120" w:type="dxa"/>
              <w:bottom w:w="80" w:type="dxa"/>
              <w:right w:w="120" w:type="dxa"/>
            </w:tcMar>
          </w:tcPr>
          <w:p w14:paraId="22D9E48A">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3CE7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3DF985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项目状态/节点</w:t>
            </w:r>
          </w:p>
        </w:tc>
        <w:tc>
          <w:tcPr>
            <w:tcW w:w="2048" w:type="dxa"/>
            <w:shd w:val="clear" w:color="auto" w:fill="FFFFFF"/>
            <w:tcMar>
              <w:top w:w="80" w:type="dxa"/>
              <w:left w:w="120" w:type="dxa"/>
              <w:bottom w:w="80" w:type="dxa"/>
              <w:right w:w="120" w:type="dxa"/>
            </w:tcMar>
          </w:tcPr>
          <w:p w14:paraId="4B5B338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状态空间</w:t>
            </w:r>
          </w:p>
        </w:tc>
        <w:tc>
          <w:tcPr>
            <w:tcW w:w="2040" w:type="dxa"/>
            <w:shd w:val="clear" w:color="auto" w:fill="FFFFFF"/>
            <w:tcMar>
              <w:top w:w="80" w:type="dxa"/>
              <w:left w:w="120" w:type="dxa"/>
              <w:bottom w:w="80" w:type="dxa"/>
              <w:right w:w="120" w:type="dxa"/>
            </w:tcMar>
          </w:tcPr>
          <w:p w14:paraId="250D85F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LLM增强FSM</w:t>
            </w:r>
          </w:p>
        </w:tc>
        <w:tc>
          <w:tcPr>
            <w:tcW w:w="3225" w:type="dxa"/>
            <w:shd w:val="clear" w:color="auto" w:fill="FFFFFF"/>
            <w:tcMar>
              <w:top w:w="80" w:type="dxa"/>
              <w:left w:w="120" w:type="dxa"/>
              <w:bottom w:w="80" w:type="dxa"/>
              <w:right w:w="120" w:type="dxa"/>
            </w:tcMar>
          </w:tcPr>
          <w:p w14:paraId="540D4D6F">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动态状态感知与受控转移</w:t>
            </w:r>
          </w:p>
        </w:tc>
      </w:tr>
      <w:tr w14:paraId="66FE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7B056C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过程事件/项目资料</w:t>
            </w:r>
          </w:p>
        </w:tc>
        <w:tc>
          <w:tcPr>
            <w:tcW w:w="2048" w:type="dxa"/>
            <w:shd w:val="clear" w:color="auto" w:fill="FFFFFF"/>
            <w:tcMar>
              <w:top w:w="80" w:type="dxa"/>
              <w:left w:w="120" w:type="dxa"/>
              <w:bottom w:w="80" w:type="dxa"/>
              <w:right w:w="120" w:type="dxa"/>
            </w:tcMar>
          </w:tcPr>
          <w:p w14:paraId="1CBBF734">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公共认知对象</w:t>
            </w:r>
          </w:p>
        </w:tc>
        <w:tc>
          <w:tcPr>
            <w:tcW w:w="2040" w:type="dxa"/>
            <w:shd w:val="clear" w:color="auto" w:fill="FFFFFF"/>
            <w:tcMar>
              <w:top w:w="80" w:type="dxa"/>
              <w:left w:w="120" w:type="dxa"/>
              <w:bottom w:w="80" w:type="dxa"/>
              <w:right w:w="120" w:type="dxa"/>
            </w:tcMar>
          </w:tcPr>
          <w:p w14:paraId="291DD1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项目态势书</w:t>
            </w:r>
          </w:p>
        </w:tc>
        <w:tc>
          <w:tcPr>
            <w:tcW w:w="3225" w:type="dxa"/>
            <w:shd w:val="clear" w:color="auto" w:fill="FFFFFF"/>
            <w:tcMar>
              <w:top w:w="80" w:type="dxa"/>
              <w:left w:w="120" w:type="dxa"/>
              <w:bottom w:w="80" w:type="dxa"/>
              <w:right w:w="120" w:type="dxa"/>
            </w:tcMar>
          </w:tcPr>
          <w:p w14:paraId="2B1AFC50">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信息持续沉淀、关联与回放</w:t>
            </w:r>
          </w:p>
        </w:tc>
      </w:tr>
      <w:tr w14:paraId="38F8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5918E05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组织制度/规则</w:t>
            </w:r>
          </w:p>
        </w:tc>
        <w:tc>
          <w:tcPr>
            <w:tcW w:w="2048" w:type="dxa"/>
            <w:shd w:val="clear" w:color="auto" w:fill="FFFFFF"/>
            <w:tcMar>
              <w:top w:w="80" w:type="dxa"/>
              <w:left w:w="120" w:type="dxa"/>
              <w:bottom w:w="80" w:type="dxa"/>
              <w:right w:w="120" w:type="dxa"/>
            </w:tcMar>
          </w:tcPr>
          <w:p w14:paraId="543013C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约束知识</w:t>
            </w:r>
          </w:p>
        </w:tc>
        <w:tc>
          <w:tcPr>
            <w:tcW w:w="2040" w:type="dxa"/>
            <w:shd w:val="clear" w:color="auto" w:fill="FFFFFF"/>
            <w:tcMar>
              <w:top w:w="80" w:type="dxa"/>
              <w:left w:w="120" w:type="dxa"/>
              <w:bottom w:w="80" w:type="dxa"/>
              <w:right w:w="120" w:type="dxa"/>
            </w:tcMar>
          </w:tcPr>
          <w:p w14:paraId="56C9171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组织规则书</w:t>
            </w:r>
          </w:p>
        </w:tc>
        <w:tc>
          <w:tcPr>
            <w:tcW w:w="3225" w:type="dxa"/>
            <w:shd w:val="clear" w:color="auto" w:fill="FFFFFF"/>
            <w:tcMar>
              <w:top w:w="80" w:type="dxa"/>
              <w:left w:w="120" w:type="dxa"/>
              <w:bottom w:w="80" w:type="dxa"/>
              <w:right w:w="120" w:type="dxa"/>
            </w:tcMar>
          </w:tcPr>
          <w:p w14:paraId="7ED3183E">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提供适用规则与执行边界</w:t>
            </w:r>
          </w:p>
        </w:tc>
      </w:tr>
      <w:tr w14:paraId="6FCC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1732D09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业务流程/SOP</w:t>
            </w:r>
          </w:p>
        </w:tc>
        <w:tc>
          <w:tcPr>
            <w:tcW w:w="2048" w:type="dxa"/>
            <w:shd w:val="clear" w:color="auto" w:fill="FFFFFF"/>
            <w:tcMar>
              <w:top w:w="80" w:type="dxa"/>
              <w:left w:w="120" w:type="dxa"/>
              <w:bottom w:w="80" w:type="dxa"/>
              <w:right w:w="120" w:type="dxa"/>
            </w:tcMar>
          </w:tcPr>
          <w:p w14:paraId="155A3D5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能力单元</w:t>
            </w:r>
          </w:p>
        </w:tc>
        <w:tc>
          <w:tcPr>
            <w:tcW w:w="2040" w:type="dxa"/>
            <w:shd w:val="clear" w:color="auto" w:fill="FFFFFF"/>
            <w:tcMar>
              <w:top w:w="80" w:type="dxa"/>
              <w:left w:w="120" w:type="dxa"/>
              <w:bottom w:w="80" w:type="dxa"/>
              <w:right w:w="120" w:type="dxa"/>
            </w:tcMar>
          </w:tcPr>
          <w:p w14:paraId="3C0DF623">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Skill化SOP</w:t>
            </w:r>
          </w:p>
        </w:tc>
        <w:tc>
          <w:tcPr>
            <w:tcW w:w="3225" w:type="dxa"/>
            <w:shd w:val="clear" w:color="auto" w:fill="FFFFFF"/>
            <w:tcMar>
              <w:top w:w="80" w:type="dxa"/>
              <w:left w:w="120" w:type="dxa"/>
              <w:bottom w:w="80" w:type="dxa"/>
              <w:right w:w="120" w:type="dxa"/>
            </w:tcMar>
          </w:tcPr>
          <w:p w14:paraId="1343295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能力发现、参数化和受控执行</w:t>
            </w:r>
          </w:p>
        </w:tc>
      </w:tr>
      <w:tr w14:paraId="64C9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BC2DDD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系统工具/接口</w:t>
            </w:r>
          </w:p>
        </w:tc>
        <w:tc>
          <w:tcPr>
            <w:tcW w:w="2048" w:type="dxa"/>
            <w:shd w:val="clear" w:color="auto" w:fill="FFFFFF"/>
            <w:tcMar>
              <w:top w:w="80" w:type="dxa"/>
              <w:left w:w="120" w:type="dxa"/>
              <w:bottom w:w="80" w:type="dxa"/>
              <w:right w:w="120" w:type="dxa"/>
            </w:tcMar>
          </w:tcPr>
          <w:p w14:paraId="49BACD8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能力对象</w:t>
            </w:r>
          </w:p>
        </w:tc>
        <w:tc>
          <w:tcPr>
            <w:tcW w:w="2040" w:type="dxa"/>
            <w:shd w:val="clear" w:color="auto" w:fill="FFFFFF"/>
            <w:tcMar>
              <w:top w:w="80" w:type="dxa"/>
              <w:left w:w="120" w:type="dxa"/>
              <w:bottom w:w="80" w:type="dxa"/>
              <w:right w:w="120" w:type="dxa"/>
            </w:tcMar>
          </w:tcPr>
          <w:p w14:paraId="3C4DF4B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系统能力书</w:t>
            </w:r>
          </w:p>
        </w:tc>
        <w:tc>
          <w:tcPr>
            <w:tcW w:w="3225" w:type="dxa"/>
            <w:shd w:val="clear" w:color="auto" w:fill="FFFFFF"/>
            <w:tcMar>
              <w:top w:w="80" w:type="dxa"/>
              <w:left w:w="120" w:type="dxa"/>
              <w:bottom w:w="80" w:type="dxa"/>
              <w:right w:w="120" w:type="dxa"/>
            </w:tcMar>
          </w:tcPr>
          <w:p w14:paraId="28065EF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工具与业务能力发现</w:t>
            </w:r>
          </w:p>
        </w:tc>
      </w:tr>
      <w:tr w14:paraId="0161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E6883C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用户复合请求</w:t>
            </w:r>
          </w:p>
        </w:tc>
        <w:tc>
          <w:tcPr>
            <w:tcW w:w="2048" w:type="dxa"/>
            <w:shd w:val="clear" w:color="auto" w:fill="FFFFFF"/>
            <w:tcMar>
              <w:top w:w="80" w:type="dxa"/>
              <w:left w:w="120" w:type="dxa"/>
              <w:bottom w:w="80" w:type="dxa"/>
              <w:right w:w="120" w:type="dxa"/>
            </w:tcMar>
          </w:tcPr>
          <w:p w14:paraId="72445739">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工作项</w:t>
            </w:r>
          </w:p>
        </w:tc>
        <w:tc>
          <w:tcPr>
            <w:tcW w:w="2040" w:type="dxa"/>
            <w:shd w:val="clear" w:color="auto" w:fill="FFFFFF"/>
            <w:tcMar>
              <w:top w:w="80" w:type="dxa"/>
              <w:left w:w="120" w:type="dxa"/>
              <w:bottom w:w="80" w:type="dxa"/>
              <w:right w:w="120" w:type="dxa"/>
            </w:tcMar>
          </w:tcPr>
          <w:p w14:paraId="1A112B1E">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w:t>
            </w:r>
          </w:p>
        </w:tc>
        <w:tc>
          <w:tcPr>
            <w:tcW w:w="3225" w:type="dxa"/>
            <w:shd w:val="clear" w:color="auto" w:fill="FFFFFF"/>
            <w:tcMar>
              <w:top w:w="80" w:type="dxa"/>
              <w:left w:w="120" w:type="dxa"/>
              <w:bottom w:w="80" w:type="dxa"/>
              <w:right w:w="120" w:type="dxa"/>
            </w:tcMar>
          </w:tcPr>
          <w:p w14:paraId="73D696E7">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复杂任务拆解与隔离</w:t>
            </w:r>
          </w:p>
        </w:tc>
      </w:tr>
      <w:tr w14:paraId="790B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39E392E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用户交互上下文</w:t>
            </w:r>
          </w:p>
        </w:tc>
        <w:tc>
          <w:tcPr>
            <w:tcW w:w="2048" w:type="dxa"/>
            <w:shd w:val="clear" w:color="auto" w:fill="FFFFFF"/>
            <w:tcMar>
              <w:top w:w="80" w:type="dxa"/>
              <w:left w:w="120" w:type="dxa"/>
              <w:bottom w:w="80" w:type="dxa"/>
              <w:right w:w="120" w:type="dxa"/>
            </w:tcMar>
          </w:tcPr>
          <w:p w14:paraId="6AAB529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会话任务</w:t>
            </w:r>
          </w:p>
        </w:tc>
        <w:tc>
          <w:tcPr>
            <w:tcW w:w="2040" w:type="dxa"/>
            <w:shd w:val="clear" w:color="auto" w:fill="FFFFFF"/>
            <w:tcMar>
              <w:top w:w="80" w:type="dxa"/>
              <w:left w:w="120" w:type="dxa"/>
              <w:bottom w:w="80" w:type="dxa"/>
              <w:right w:w="120" w:type="dxa"/>
            </w:tcMar>
          </w:tcPr>
          <w:p w14:paraId="4DE79A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SessionAgent</w:t>
            </w:r>
          </w:p>
        </w:tc>
        <w:tc>
          <w:tcPr>
            <w:tcW w:w="3225" w:type="dxa"/>
            <w:shd w:val="clear" w:color="auto" w:fill="FFFFFF"/>
            <w:tcMar>
              <w:top w:w="80" w:type="dxa"/>
              <w:left w:w="120" w:type="dxa"/>
              <w:bottom w:w="80" w:type="dxa"/>
              <w:right w:w="120" w:type="dxa"/>
            </w:tcMar>
          </w:tcPr>
          <w:p w14:paraId="36F23C03">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会话组织与任务调度</w:t>
            </w:r>
          </w:p>
        </w:tc>
      </w:tr>
      <w:tr w14:paraId="1F90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6E78B4F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具体业务任务</w:t>
            </w:r>
          </w:p>
        </w:tc>
        <w:tc>
          <w:tcPr>
            <w:tcW w:w="2048" w:type="dxa"/>
            <w:shd w:val="clear" w:color="auto" w:fill="FFFFFF"/>
            <w:tcMar>
              <w:top w:w="80" w:type="dxa"/>
              <w:left w:w="120" w:type="dxa"/>
              <w:bottom w:w="80" w:type="dxa"/>
              <w:right w:w="120" w:type="dxa"/>
            </w:tcMar>
          </w:tcPr>
          <w:p w14:paraId="2BE19A4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执行任务</w:t>
            </w:r>
          </w:p>
        </w:tc>
        <w:tc>
          <w:tcPr>
            <w:tcW w:w="2040" w:type="dxa"/>
            <w:shd w:val="clear" w:color="auto" w:fill="FFFFFF"/>
            <w:tcMar>
              <w:top w:w="80" w:type="dxa"/>
              <w:left w:w="120" w:type="dxa"/>
              <w:bottom w:w="80" w:type="dxa"/>
              <w:right w:w="120" w:type="dxa"/>
            </w:tcMar>
          </w:tcPr>
          <w:p w14:paraId="72D3655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WorkItemAgent</w:t>
            </w:r>
          </w:p>
        </w:tc>
        <w:tc>
          <w:tcPr>
            <w:tcW w:w="3225" w:type="dxa"/>
            <w:shd w:val="clear" w:color="auto" w:fill="FFFFFF"/>
            <w:tcMar>
              <w:top w:w="80" w:type="dxa"/>
              <w:left w:w="120" w:type="dxa"/>
              <w:bottom w:w="80" w:type="dxa"/>
              <w:right w:w="120" w:type="dxa"/>
            </w:tcMar>
          </w:tcPr>
          <w:p w14:paraId="6C97C2AB">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具体能力调用与业务执行</w:t>
            </w:r>
          </w:p>
        </w:tc>
      </w:tr>
      <w:tr w14:paraId="66B3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FFFFF"/>
            <w:tcMar>
              <w:top w:w="80" w:type="dxa"/>
              <w:left w:w="120" w:type="dxa"/>
              <w:bottom w:w="80" w:type="dxa"/>
              <w:right w:w="120" w:type="dxa"/>
            </w:tcMar>
          </w:tcPr>
          <w:p w14:paraId="77BCCCB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组织权限/责任</w:t>
            </w:r>
          </w:p>
        </w:tc>
        <w:tc>
          <w:tcPr>
            <w:tcW w:w="2048" w:type="dxa"/>
            <w:shd w:val="clear" w:color="auto" w:fill="FFFFFF"/>
            <w:tcMar>
              <w:top w:w="80" w:type="dxa"/>
              <w:left w:w="120" w:type="dxa"/>
              <w:bottom w:w="80" w:type="dxa"/>
              <w:right w:w="120" w:type="dxa"/>
            </w:tcMar>
          </w:tcPr>
          <w:p w14:paraId="7B5933A1">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核验任务</w:t>
            </w:r>
          </w:p>
        </w:tc>
        <w:tc>
          <w:tcPr>
            <w:tcW w:w="2040" w:type="dxa"/>
            <w:shd w:val="clear" w:color="auto" w:fill="FFFFFF"/>
            <w:tcMar>
              <w:top w:w="80" w:type="dxa"/>
              <w:left w:w="120" w:type="dxa"/>
              <w:bottom w:w="80" w:type="dxa"/>
              <w:right w:w="120" w:type="dxa"/>
            </w:tcMar>
          </w:tcPr>
          <w:p w14:paraId="508EF24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GuardianAgent</w:t>
            </w:r>
          </w:p>
        </w:tc>
        <w:tc>
          <w:tcPr>
            <w:tcW w:w="3225" w:type="dxa"/>
            <w:shd w:val="clear" w:color="auto" w:fill="FFFFFF"/>
            <w:tcMar>
              <w:top w:w="80" w:type="dxa"/>
              <w:left w:w="120" w:type="dxa"/>
              <w:bottom w:w="80" w:type="dxa"/>
              <w:right w:w="120" w:type="dxa"/>
            </w:tcMar>
          </w:tcPr>
          <w:p w14:paraId="7515B5CA">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权限、规则与结果约束核验</w:t>
            </w:r>
          </w:p>
        </w:tc>
      </w:tr>
    </w:tbl>
    <w:p w14:paraId="407E1FD6">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D62016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5779AC7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3CB2A2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3.3 框架设计约束</w:t>
      </w:r>
    </w:p>
    <w:p w14:paraId="2E072411">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698D47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3.4 总体框架模型</w:t>
      </w:r>
    </w:p>
    <w:p w14:paraId="31EE90B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综合上述管理要素映射与设计约束，针对行业信息协同核心问题，框架经三书认知基座、LLM增强FSM、Skill化SOP、三智能体分工与权限钩子等工程实现机制，形成过程信息持续进入、多源信息关联组织、组织知识持续沉淀与复用等团队信息协同能力，整体功能组织逻辑如图1所示。</w:t>
      </w:r>
    </w:p>
    <w:p w14:paraId="23129FCC">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5941060" cy="4258945"/>
            <wp:effectExtent l="0" t="0" r="2540" b="8255"/>
            <wp:docPr id="1" name="图片 1" descr="图1 功能组织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功能组织逻辑"/>
                    <pic:cNvPicPr>
                      <a:picLocks noChangeAspect="1"/>
                    </pic:cNvPicPr>
                  </pic:nvPicPr>
                  <pic:blipFill>
                    <a:blip r:embed="rId7"/>
                    <a:stretch>
                      <a:fillRect/>
                    </a:stretch>
                  </pic:blipFill>
                  <pic:spPr>
                    <a:xfrm>
                      <a:off x="0" y="0"/>
                      <a:ext cx="5941060" cy="4258945"/>
                    </a:xfrm>
                    <a:prstGeom prst="rect">
                      <a:avLst/>
                    </a:prstGeom>
                  </pic:spPr>
                </pic:pic>
              </a:graphicData>
            </a:graphic>
          </wp:inline>
        </w:drawing>
      </w:r>
    </w:p>
    <w:p w14:paraId="7703875F">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图1 问题—设计原则—工程机制—组织能力形成逻辑</w:t>
      </w:r>
    </w:p>
    <w:p w14:paraId="2EB8CE04">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4 信息协同型AI智能体框架设计</w:t>
      </w:r>
    </w:p>
    <w:p w14:paraId="6A46450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4.1 总体架构</w:t>
      </w:r>
    </w:p>
    <w:p w14:paraId="0D39735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基于第三章的领域映射，本文构建信息协同型AI智能体框架。框架由用户与接入层、智能体分工层、三书认知基座、业务底座及基础设施五部分组成，并以定时复盘闭环作为受控改进回路。Emily系统可作为该框架的工程实现载体。</w:t>
      </w:r>
    </w:p>
    <w:p w14:paraId="4F868DCB">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5463540" cy="6262370"/>
            <wp:effectExtent l="0" t="0" r="3810" b="5080"/>
            <wp:docPr id="6" name="图片 6" descr="图2-系统架构图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2-系统架构图_++"/>
                    <pic:cNvPicPr>
                      <a:picLocks noChangeAspect="1"/>
                    </pic:cNvPicPr>
                  </pic:nvPicPr>
                  <pic:blipFill>
                    <a:blip r:embed="rId8"/>
                    <a:stretch>
                      <a:fillRect/>
                    </a:stretch>
                  </pic:blipFill>
                  <pic:spPr>
                    <a:xfrm>
                      <a:off x="0" y="0"/>
                      <a:ext cx="5463540" cy="6262370"/>
                    </a:xfrm>
                    <a:prstGeom prst="rect">
                      <a:avLst/>
                    </a:prstGeom>
                  </pic:spPr>
                </pic:pic>
              </a:graphicData>
            </a:graphic>
          </wp:inline>
        </w:drawing>
      </w:r>
    </w:p>
    <w:p w14:paraId="0A4B65E0">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图2 信息协同型AI智能体总体架构</w:t>
      </w:r>
    </w:p>
    <w:p w14:paraId="0330B61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2C1F4C1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 三书认知基座</w:t>
      </w:r>
    </w:p>
    <w:p w14:paraId="2DEE975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4.2.1 项目态势书</w:t>
      </w:r>
    </w:p>
    <w:p w14:paraId="61FD2A4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2F6EF4A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4.2.2 组织规则书</w:t>
      </w:r>
    </w:p>
    <w:p w14:paraId="70FC4B2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组织规则书用于组织企业制度、项目管理要求、验收标准、合同规则及相关规范条文，为具体任务提供适用约束。规则通过语义检索结合版本、生效时间和适用范围等元数据筛选，并在关键任务中作为核验依据。</w:t>
      </w:r>
    </w:p>
    <w:p w14:paraId="47F8F94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4.2.3 系统能力书</w:t>
      </w:r>
    </w:p>
    <w:p w14:paraId="60E21F3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系统能力书描述当前可调用的RAG、DB、业务插件和Skill等能力，解决的是Agent如何知道自己可以做什么。能力以功能、输入输出、适用条件和权限要求等元数据描述，Agent先语义匹配候选能力，再按任务需要加载。</w:t>
      </w:r>
    </w:p>
    <w:p w14:paraId="55D5BE6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4.2.4 三书联动与渐进式发现</w:t>
      </w:r>
    </w:p>
    <w:p w14:paraId="40B27C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并适应项目资料持续增长。</w:t>
      </w:r>
    </w:p>
    <w:p w14:paraId="5D8685E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4.3 LLM增强有限状态机</w:t>
      </w:r>
    </w:p>
    <w:p w14:paraId="7E45B62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20860128">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 Skill化SOP</w:t>
      </w:r>
    </w:p>
    <w:p w14:paraId="45F52DE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4.4.1 业务能力单元化</w:t>
      </w:r>
    </w:p>
    <w:p w14:paraId="4108BE3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0F46D96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4.4.2 能力发现与执行</w:t>
      </w:r>
    </w:p>
    <w:p w14:paraId="116F077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26C8B9A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4.4.3 非预设场景下的能力组合</w:t>
      </w:r>
    </w:p>
    <w:p w14:paraId="139AC51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当系统能力书中没有匹配到专属SOP时，对于不需要新增业务规则的复合信息任务，可以在权限允许范围内组合已有RAG、DB、事件日志和历史经验等基础能力。</w:t>
      </w:r>
    </w:p>
    <w:p w14:paraId="38929AB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需要明确区分“能力组合”与“新流程生成”：前者是在既有能力边界内临时组织任务，后者会改变组织规则或业务流程。本文仅允许前者，新的SOP、流程规则和状态空间变更仍需人工审核。</w:t>
      </w:r>
    </w:p>
    <w:p w14:paraId="73C9BE6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4.5 三智能体协作</w:t>
      </w:r>
    </w:p>
    <w:p w14:paraId="223BD35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bCs/>
          <w:sz w:val="21"/>
          <w:szCs w:val="21"/>
        </w:rPr>
      </w:pPr>
      <w:r>
        <w:rPr>
          <w:rFonts w:hint="eastAsia" w:ascii="宋体" w:hAnsi="宋体" w:eastAsia="宋体" w:cs="宋体"/>
          <w:b w:val="0"/>
          <w:i w:val="0"/>
          <w:sz w:val="21"/>
          <w:szCs w:val="21"/>
        </w:rPr>
        <w:t>三Agent并非为了增加系</w:t>
      </w:r>
      <w:r>
        <w:rPr>
          <w:rFonts w:hint="eastAsia" w:ascii="宋体" w:hAnsi="宋体" w:eastAsia="宋体" w:cs="宋体"/>
          <w:b w:val="0"/>
          <w:bCs/>
          <w:i w:val="0"/>
          <w:sz w:val="21"/>
          <w:szCs w:val="21"/>
        </w:rPr>
        <w:t>统中的模型数量，而是将地产项目中的任务组织、业务执行和责任核验映射为不同的技术职责。</w:t>
      </w:r>
    </w:p>
    <w:p w14:paraId="25D06B2F">
      <w:pPr>
        <w:keepNext w:val="0"/>
        <w:keepLines w:val="0"/>
        <w:pageBreakBefore w:val="0"/>
        <w:widowControl/>
        <w:kinsoku/>
        <w:wordWrap/>
        <w:topLinePunct w:val="0"/>
        <w:autoSpaceDE/>
        <w:autoSpaceDN/>
        <w:bidi w:val="0"/>
        <w:adjustRightInd/>
        <w:snapToGrid/>
        <w:spacing w:after="0" w:line="30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表4 三书与核心Agent机制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321"/>
        <w:gridCol w:w="2919"/>
      </w:tblGrid>
      <w:tr w14:paraId="374C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2F2F2"/>
            <w:tcMar>
              <w:top w:w="80" w:type="dxa"/>
              <w:left w:w="120" w:type="dxa"/>
              <w:bottom w:w="80" w:type="dxa"/>
              <w:right w:w="120" w:type="dxa"/>
            </w:tcMar>
          </w:tcPr>
          <w:p w14:paraId="2E3D36A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模块</w:t>
            </w:r>
          </w:p>
        </w:tc>
        <w:tc>
          <w:tcPr>
            <w:tcW w:w="3321" w:type="dxa"/>
            <w:shd w:val="clear" w:color="auto" w:fill="F2F2F2"/>
            <w:tcMar>
              <w:top w:w="80" w:type="dxa"/>
              <w:left w:w="120" w:type="dxa"/>
              <w:bottom w:w="80" w:type="dxa"/>
              <w:right w:w="120" w:type="dxa"/>
            </w:tcMar>
          </w:tcPr>
          <w:p w14:paraId="27B27DD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核心对象</w:t>
            </w:r>
          </w:p>
        </w:tc>
        <w:tc>
          <w:tcPr>
            <w:tcW w:w="2919" w:type="dxa"/>
            <w:shd w:val="clear" w:color="auto" w:fill="F2F2F2"/>
            <w:tcMar>
              <w:top w:w="80" w:type="dxa"/>
              <w:left w:w="120" w:type="dxa"/>
              <w:bottom w:w="80" w:type="dxa"/>
              <w:right w:w="120" w:type="dxa"/>
            </w:tcMar>
          </w:tcPr>
          <w:p w14:paraId="6348640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i w:val="0"/>
                <w:sz w:val="21"/>
                <w:szCs w:val="21"/>
              </w:rPr>
              <w:t>主要作用</w:t>
            </w:r>
          </w:p>
        </w:tc>
      </w:tr>
      <w:tr w14:paraId="1658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6E26B97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项目态势书</w:t>
            </w:r>
          </w:p>
        </w:tc>
        <w:tc>
          <w:tcPr>
            <w:tcW w:w="3321" w:type="dxa"/>
            <w:shd w:val="clear" w:color="auto" w:fill="FFFFFF"/>
            <w:tcMar>
              <w:top w:w="80" w:type="dxa"/>
              <w:left w:w="120" w:type="dxa"/>
              <w:bottom w:w="80" w:type="dxa"/>
              <w:right w:w="120" w:type="dxa"/>
            </w:tcMar>
          </w:tcPr>
          <w:p w14:paraId="3A27F54D">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项目状态、过程事件、资料索引</w:t>
            </w:r>
          </w:p>
        </w:tc>
        <w:tc>
          <w:tcPr>
            <w:tcW w:w="2919" w:type="dxa"/>
            <w:shd w:val="clear" w:color="auto" w:fill="FFFFFF"/>
            <w:tcMar>
              <w:top w:w="80" w:type="dxa"/>
              <w:left w:w="120" w:type="dxa"/>
              <w:bottom w:w="80" w:type="dxa"/>
              <w:right w:w="120" w:type="dxa"/>
            </w:tcMar>
          </w:tcPr>
          <w:p w14:paraId="1048C55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形成项目公共认知</w:t>
            </w:r>
          </w:p>
        </w:tc>
      </w:tr>
      <w:tr w14:paraId="77BF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396334AF">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组织规则书</w:t>
            </w:r>
          </w:p>
        </w:tc>
        <w:tc>
          <w:tcPr>
            <w:tcW w:w="3321" w:type="dxa"/>
            <w:shd w:val="clear" w:color="auto" w:fill="FFFFFF"/>
            <w:tcMar>
              <w:top w:w="80" w:type="dxa"/>
              <w:left w:w="120" w:type="dxa"/>
              <w:bottom w:w="80" w:type="dxa"/>
              <w:right w:w="120" w:type="dxa"/>
            </w:tcMar>
          </w:tcPr>
          <w:p w14:paraId="0E85907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制度、标准、合同、规则元数据</w:t>
            </w:r>
          </w:p>
        </w:tc>
        <w:tc>
          <w:tcPr>
            <w:tcW w:w="2919" w:type="dxa"/>
            <w:shd w:val="clear" w:color="auto" w:fill="FFFFFF"/>
            <w:tcMar>
              <w:top w:w="80" w:type="dxa"/>
              <w:left w:w="120" w:type="dxa"/>
              <w:bottom w:w="80" w:type="dxa"/>
              <w:right w:w="120" w:type="dxa"/>
            </w:tcMar>
          </w:tcPr>
          <w:p w14:paraId="70645AA4">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提供适用约束</w:t>
            </w:r>
          </w:p>
        </w:tc>
      </w:tr>
      <w:tr w14:paraId="22D8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12FD70B">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系统能力书</w:t>
            </w:r>
          </w:p>
        </w:tc>
        <w:tc>
          <w:tcPr>
            <w:tcW w:w="3321" w:type="dxa"/>
            <w:shd w:val="clear" w:color="auto" w:fill="FFFFFF"/>
            <w:tcMar>
              <w:top w:w="80" w:type="dxa"/>
              <w:left w:w="120" w:type="dxa"/>
              <w:bottom w:w="80" w:type="dxa"/>
              <w:right w:w="120" w:type="dxa"/>
            </w:tcMar>
          </w:tcPr>
          <w:p w14:paraId="01B18B28">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Skill、RAG、DB、Plugin元数据</w:t>
            </w:r>
          </w:p>
        </w:tc>
        <w:tc>
          <w:tcPr>
            <w:tcW w:w="2919" w:type="dxa"/>
            <w:shd w:val="clear" w:color="auto" w:fill="FFFFFF"/>
            <w:tcMar>
              <w:top w:w="80" w:type="dxa"/>
              <w:left w:w="120" w:type="dxa"/>
              <w:bottom w:w="80" w:type="dxa"/>
              <w:right w:w="120" w:type="dxa"/>
            </w:tcMar>
          </w:tcPr>
          <w:p w14:paraId="54BB3AAD">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能力发现与调用</w:t>
            </w:r>
          </w:p>
        </w:tc>
      </w:tr>
      <w:tr w14:paraId="07FA1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10457016">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SessionAgent</w:t>
            </w:r>
          </w:p>
        </w:tc>
        <w:tc>
          <w:tcPr>
            <w:tcW w:w="3321" w:type="dxa"/>
            <w:shd w:val="clear" w:color="auto" w:fill="FFFFFF"/>
            <w:tcMar>
              <w:top w:w="80" w:type="dxa"/>
              <w:left w:w="120" w:type="dxa"/>
              <w:bottom w:w="80" w:type="dxa"/>
              <w:right w:w="120" w:type="dxa"/>
            </w:tcMar>
          </w:tcPr>
          <w:p w14:paraId="63E74BF5">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会话与WorkItem</w:t>
            </w:r>
          </w:p>
        </w:tc>
        <w:tc>
          <w:tcPr>
            <w:tcW w:w="2919" w:type="dxa"/>
            <w:shd w:val="clear" w:color="auto" w:fill="FFFFFF"/>
            <w:tcMar>
              <w:top w:w="80" w:type="dxa"/>
              <w:left w:w="120" w:type="dxa"/>
              <w:bottom w:w="80" w:type="dxa"/>
              <w:right w:w="120" w:type="dxa"/>
            </w:tcMar>
          </w:tcPr>
          <w:p w14:paraId="33AC6DB2">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任务组织与拆解</w:t>
            </w:r>
          </w:p>
        </w:tc>
      </w:tr>
      <w:tr w14:paraId="66D8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79132F9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WorkItemAgent</w:t>
            </w:r>
          </w:p>
        </w:tc>
        <w:tc>
          <w:tcPr>
            <w:tcW w:w="3321" w:type="dxa"/>
            <w:shd w:val="clear" w:color="auto" w:fill="FFFFFF"/>
            <w:tcMar>
              <w:top w:w="80" w:type="dxa"/>
              <w:left w:w="120" w:type="dxa"/>
              <w:bottom w:w="80" w:type="dxa"/>
              <w:right w:w="120" w:type="dxa"/>
            </w:tcMar>
          </w:tcPr>
          <w:p w14:paraId="12F9ECF0">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具体工作项</w:t>
            </w:r>
          </w:p>
        </w:tc>
        <w:tc>
          <w:tcPr>
            <w:tcW w:w="2919" w:type="dxa"/>
            <w:shd w:val="clear" w:color="auto" w:fill="FFFFFF"/>
            <w:tcMar>
              <w:top w:w="80" w:type="dxa"/>
              <w:left w:w="120" w:type="dxa"/>
              <w:bottom w:w="80" w:type="dxa"/>
              <w:right w:w="120" w:type="dxa"/>
            </w:tcMar>
          </w:tcPr>
          <w:p w14:paraId="7DF5D481">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能力调用与业务执行</w:t>
            </w:r>
          </w:p>
        </w:tc>
      </w:tr>
      <w:tr w14:paraId="5C03D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FFFFFF"/>
            <w:tcMar>
              <w:top w:w="80" w:type="dxa"/>
              <w:left w:w="120" w:type="dxa"/>
              <w:bottom w:w="80" w:type="dxa"/>
              <w:right w:w="120" w:type="dxa"/>
            </w:tcMar>
          </w:tcPr>
          <w:p w14:paraId="25BD0D1C">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GuardianAgent</w:t>
            </w:r>
          </w:p>
        </w:tc>
        <w:tc>
          <w:tcPr>
            <w:tcW w:w="3321" w:type="dxa"/>
            <w:shd w:val="clear" w:color="auto" w:fill="FFFFFF"/>
            <w:tcMar>
              <w:top w:w="80" w:type="dxa"/>
              <w:left w:w="120" w:type="dxa"/>
              <w:bottom w:w="80" w:type="dxa"/>
              <w:right w:w="120" w:type="dxa"/>
            </w:tcMar>
          </w:tcPr>
          <w:p w14:paraId="0259F6A2">
            <w:pPr>
              <w:keepNext w:val="0"/>
              <w:keepLines w:val="0"/>
              <w:pageBreakBefore w:val="0"/>
              <w:widowControl/>
              <w:kinsoku/>
              <w:wordWrap/>
              <w:topLinePunct w:val="0"/>
              <w:autoSpaceDE/>
              <w:autoSpaceDN/>
              <w:bidi w:val="0"/>
              <w:adjustRightInd/>
              <w:snapToGrid/>
              <w:spacing w:after="0" w:line="240" w:lineRule="auto"/>
              <w:jc w:val="center"/>
              <w:textAlignment w:val="auto"/>
              <w:rPr>
                <w:rFonts w:hint="eastAsia" w:ascii="宋体" w:hAnsi="宋体" w:eastAsia="宋体" w:cs="宋体"/>
                <w:sz w:val="21"/>
                <w:szCs w:val="21"/>
              </w:rPr>
            </w:pPr>
            <w:r>
              <w:rPr>
                <w:rFonts w:hint="eastAsia" w:ascii="宋体" w:hAnsi="宋体" w:eastAsia="宋体" w:cs="宋体"/>
                <w:b w:val="0"/>
                <w:i w:val="0"/>
                <w:sz w:val="21"/>
                <w:szCs w:val="21"/>
              </w:rPr>
              <w:t>权限、规则、结果约束</w:t>
            </w:r>
          </w:p>
        </w:tc>
        <w:tc>
          <w:tcPr>
            <w:tcW w:w="2919" w:type="dxa"/>
            <w:shd w:val="clear" w:color="auto" w:fill="FFFFFF"/>
            <w:tcMar>
              <w:top w:w="80" w:type="dxa"/>
              <w:left w:w="120" w:type="dxa"/>
              <w:bottom w:w="80" w:type="dxa"/>
              <w:right w:w="120" w:type="dxa"/>
            </w:tcMar>
          </w:tcPr>
          <w:p w14:paraId="3C9D09D8">
            <w:pPr>
              <w:keepNext w:val="0"/>
              <w:keepLines w:val="0"/>
              <w:pageBreakBefore w:val="0"/>
              <w:widowControl/>
              <w:kinsoku/>
              <w:wordWrap/>
              <w:topLinePunct w:val="0"/>
              <w:autoSpaceDE/>
              <w:autoSpaceDN/>
              <w:bidi w:val="0"/>
              <w:adjustRightInd/>
              <w:snapToGrid/>
              <w:spacing w:after="0" w:line="240" w:lineRule="auto"/>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二次核验与人工确认控制</w:t>
            </w:r>
          </w:p>
        </w:tc>
      </w:tr>
    </w:tbl>
    <w:p w14:paraId="48AFC8CA">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529F0D4A">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SessionAgent负责理解用户输入并将复合请求拆分为一个或多个WorkItem；WorkItemAgent围绕单一任务读取三书、发现能力并执行；GuardianAgent在关键边界进行权限、规则和结果约束的二次核验。</w:t>
      </w:r>
    </w:p>
    <w:p w14:paraId="3284F41B">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4.6 权限与人工责任边界</w:t>
      </w:r>
    </w:p>
    <w:p w14:paraId="6F343DA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39B2061D">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AI：  </w:t>
      </w:r>
      <w:r>
        <w:rPr>
          <w:rFonts w:hint="eastAsia" w:ascii="宋体" w:hAnsi="宋体" w:eastAsia="宋体" w:cs="宋体"/>
          <w:b w:val="0"/>
          <w:i w:val="0"/>
          <w:sz w:val="21"/>
          <w:szCs w:val="21"/>
        </w:rPr>
        <w:t>理解、检索、关联、提示、受控执行</w:t>
      </w:r>
    </w:p>
    <w:p w14:paraId="76107810">
      <w:pPr>
        <w:keepNext w:val="0"/>
        <w:keepLines w:val="0"/>
        <w:pageBreakBefore w:val="0"/>
        <w:widowControl/>
        <w:kinsoku/>
        <w:wordWrap/>
        <w:topLinePunct w:val="0"/>
        <w:autoSpaceDE/>
        <w:autoSpaceDN/>
        <w:bidi w:val="0"/>
        <w:adjustRightInd/>
        <w:snapToGrid/>
        <w:spacing w:after="0" w:line="300" w:lineRule="auto"/>
        <w:ind w:left="800"/>
        <w:jc w:val="left"/>
        <w:textAlignment w:val="auto"/>
        <w:rPr>
          <w:rFonts w:hint="eastAsia" w:ascii="宋体" w:hAnsi="宋体" w:eastAsia="宋体" w:cs="宋体"/>
          <w:sz w:val="21"/>
          <w:szCs w:val="21"/>
        </w:rPr>
      </w:pPr>
      <w:r>
        <w:rPr>
          <w:rFonts w:hint="eastAsia" w:ascii="宋体" w:hAnsi="宋体" w:eastAsia="宋体" w:cs="宋体"/>
          <w:b/>
          <w:i w:val="0"/>
          <w:sz w:val="21"/>
          <w:szCs w:val="21"/>
        </w:rPr>
        <w:t xml:space="preserve">人：  </w:t>
      </w:r>
      <w:r>
        <w:rPr>
          <w:rFonts w:hint="eastAsia" w:ascii="宋体" w:hAnsi="宋体" w:eastAsia="宋体" w:cs="宋体"/>
          <w:b w:val="0"/>
          <w:i w:val="0"/>
          <w:sz w:val="21"/>
          <w:szCs w:val="21"/>
        </w:rPr>
        <w:t>规则定义、权限授权、关键确认、责任承担、流程升级</w:t>
      </w:r>
    </w:p>
    <w:p w14:paraId="7AFE648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4.7 信息协同运行闭环</w:t>
      </w:r>
    </w:p>
    <w:p w14:paraId="32FE8374">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本文框架的关键并非一次性完成某项任务，而是使项目团队的日常业务活动持续转化为公共认知，并被后续任务再次利用。</w:t>
      </w:r>
    </w:p>
    <w:p w14:paraId="6E015B57">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val="0"/>
          <w:i w:val="0"/>
          <w:sz w:val="21"/>
          <w:szCs w:val="21"/>
          <w:lang w:eastAsia="zh-CN"/>
        </w:rPr>
      </w:pPr>
      <w:r>
        <w:rPr>
          <w:rFonts w:hint="eastAsia" w:ascii="宋体" w:hAnsi="宋体" w:eastAsia="宋体" w:cs="宋体"/>
          <w:b w:val="0"/>
          <w:i w:val="0"/>
          <w:sz w:val="21"/>
          <w:szCs w:val="21"/>
          <w:lang w:eastAsia="zh-CN"/>
        </w:rPr>
        <w:drawing>
          <wp:inline distT="0" distB="0" distL="114300" distR="114300">
            <wp:extent cx="3974465" cy="1945640"/>
            <wp:effectExtent l="0" t="0" r="6985" b="16510"/>
            <wp:docPr id="3" name="图片 3" descr="图3 信息协同运行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 信息协同运行闭环"/>
                    <pic:cNvPicPr>
                      <a:picLocks noChangeAspect="1"/>
                    </pic:cNvPicPr>
                  </pic:nvPicPr>
                  <pic:blipFill>
                    <a:blip r:embed="rId9"/>
                    <a:stretch>
                      <a:fillRect/>
                    </a:stretch>
                  </pic:blipFill>
                  <pic:spPr>
                    <a:xfrm>
                      <a:off x="0" y="0"/>
                      <a:ext cx="3974465" cy="1945640"/>
                    </a:xfrm>
                    <a:prstGeom prst="rect">
                      <a:avLst/>
                    </a:prstGeom>
                  </pic:spPr>
                </pic:pic>
              </a:graphicData>
            </a:graphic>
          </wp:inline>
        </w:drawing>
      </w:r>
    </w:p>
    <w:p w14:paraId="1B23D4C1">
      <w:pPr>
        <w:keepNext w:val="0"/>
        <w:keepLines w:val="0"/>
        <w:pageBreakBefore w:val="0"/>
        <w:widowControl/>
        <w:kinsoku/>
        <w:wordWrap/>
        <w:topLinePunct w:val="0"/>
        <w:autoSpaceDE/>
        <w:autoSpaceDN/>
        <w:bidi w:val="0"/>
        <w:adjustRightInd/>
        <w:snapToGrid/>
        <w:spacing w:after="0" w:line="300" w:lineRule="auto"/>
        <w:ind w:firstLine="420"/>
        <w:jc w:val="center"/>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图3 三书驱动的信息协同运行闭环</w:t>
      </w:r>
    </w:p>
    <w:p w14:paraId="264E821D">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这一闭环体现了三书在团队级Agent Harness中的作用：项目过程信息构成持续更新的热记忆，规则和能力作为与热记忆关联的两个认知维度，共同形成Agent运行所需的信息交汇与架构地图。</w:t>
      </w:r>
    </w:p>
    <w:p w14:paraId="55F9D94B">
      <w:pPr>
        <w:keepNext w:val="0"/>
        <w:keepLines w:val="0"/>
        <w:pageBreakBefore w:val="0"/>
        <w:widowControl/>
        <w:kinsoku/>
        <w:wordWrap/>
        <w:overflowPunct/>
        <w:topLinePunct w:val="0"/>
        <w:autoSpaceDE/>
        <w:autoSpaceDN/>
        <w:bidi w:val="0"/>
        <w:adjustRightInd/>
        <w:snapToGrid/>
        <w:spacing w:before="289" w:beforeLines="80" w:after="145" w:afterLines="40" w:line="300" w:lineRule="auto"/>
        <w:ind w:firstLine="420"/>
        <w:jc w:val="left"/>
        <w:textAlignment w:val="auto"/>
        <w:rPr>
          <w:rFonts w:hint="eastAsia" w:ascii="宋体" w:hAnsi="宋体" w:eastAsia="宋体" w:cs="宋体"/>
          <w:b/>
          <w:bCs/>
          <w:i w:val="0"/>
          <w:sz w:val="21"/>
          <w:szCs w:val="21"/>
        </w:rPr>
      </w:pPr>
      <w:r>
        <w:rPr>
          <w:rFonts w:hint="eastAsia" w:ascii="宋体" w:hAnsi="宋体" w:eastAsia="宋体" w:cs="宋体"/>
          <w:b/>
          <w:bCs/>
          <w:i w:val="0"/>
          <w:sz w:val="21"/>
          <w:szCs w:val="21"/>
        </w:rPr>
        <w:t>5 框架应用说明</w:t>
      </w:r>
    </w:p>
    <w:p w14:paraId="15AAA99C">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本文不以应用案例进行统计意义上的性能验证，而以实际业务实例说明所提出框架的工程落点。以下两个实例分别对应预设业务流程和非预设复合信息任务。</w:t>
      </w:r>
    </w:p>
    <w:p w14:paraId="65E7E98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5.1 预设业务任务应用</w:t>
      </w:r>
    </w:p>
    <w:p w14:paraId="4543E5B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43828E96">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26ABD440">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该实例说明，框架可以支持从自然语言业务请求出发，经任务拆解、认知获取、能力发现和责任核验，形成受控的业务执行链。</w:t>
      </w:r>
    </w:p>
    <w:p w14:paraId="514BC6B3">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5.2 非预设跨部门信息任务应用</w:t>
      </w:r>
    </w:p>
    <w:p w14:paraId="59052EFF">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14:paraId="27773BF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5.3 应用边界</w:t>
      </w:r>
    </w:p>
    <w:p w14:paraId="7919618E">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b w:val="0"/>
          <w:i w:val="0"/>
          <w:sz w:val="21"/>
          <w:szCs w:val="21"/>
        </w:rPr>
      </w:pPr>
      <w:r>
        <w:rPr>
          <w:rFonts w:hint="eastAsia" w:ascii="宋体" w:hAnsi="宋体" w:eastAsia="宋体" w:cs="宋体"/>
          <w:b w:val="0"/>
          <w:i w:val="0"/>
          <w:sz w:val="21"/>
          <w:szCs w:val="21"/>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17CB446D">
      <w:pPr>
        <w:keepNext w:val="0"/>
        <w:keepLines w:val="0"/>
        <w:pageBreakBefore w:val="0"/>
        <w:widowControl/>
        <w:kinsoku/>
        <w:wordWrap/>
        <w:overflowPunct/>
        <w:topLinePunct w:val="0"/>
        <w:autoSpaceDE/>
        <w:autoSpaceDN/>
        <w:bidi w:val="0"/>
        <w:adjustRightInd/>
        <w:snapToGrid/>
        <w:spacing w:before="289" w:beforeLines="80" w:after="145" w:afterLines="40" w:line="300" w:lineRule="auto"/>
        <w:jc w:val="left"/>
        <w:textAlignment w:val="auto"/>
        <w:rPr>
          <w:rFonts w:hint="eastAsia" w:ascii="宋体" w:hAnsi="宋体" w:eastAsia="宋体" w:cs="宋体"/>
          <w:b/>
          <w:i w:val="0"/>
          <w:sz w:val="21"/>
          <w:szCs w:val="21"/>
        </w:rPr>
      </w:pPr>
      <w:r>
        <w:rPr>
          <w:rFonts w:hint="eastAsia" w:ascii="宋体" w:hAnsi="宋体" w:eastAsia="宋体" w:cs="宋体"/>
          <w:b/>
          <w:i w:val="0"/>
          <w:sz w:val="21"/>
          <w:szCs w:val="21"/>
        </w:rPr>
        <w:t>6 结论</w:t>
      </w:r>
    </w:p>
    <w:p w14:paraId="361EFB62">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orkItem和职责核验机制，形成“认知—感知—执行—核验”的信息协同型Agent框架。</w:t>
      </w:r>
    </w:p>
    <w:p w14:paraId="3D3DAB39">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41991607">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本文为传统行业由管理结构反向驱动Agent架构设计提供了一条工程</w:t>
      </w:r>
      <w:r>
        <w:rPr>
          <w:rFonts w:hint="eastAsia" w:ascii="宋体" w:hAnsi="宋体" w:eastAsia="宋体" w:cs="宋体"/>
          <w:b w:val="0"/>
          <w:i w:val="0"/>
          <w:sz w:val="21"/>
          <w:szCs w:val="21"/>
          <w:lang w:val="en-US" w:eastAsia="zh-CN"/>
        </w:rPr>
        <w:t>实践参考</w:t>
      </w:r>
      <w:r>
        <w:rPr>
          <w:rFonts w:hint="eastAsia" w:ascii="宋体" w:hAnsi="宋体" w:eastAsia="宋体" w:cs="宋体"/>
          <w:b w:val="0"/>
          <w:i w:val="0"/>
          <w:sz w:val="21"/>
          <w:szCs w:val="21"/>
        </w:rPr>
        <w:t>，后续可进一步研究事件关系网络、Wiki式知识网络与RAG/DB双路径召回的结合。</w:t>
      </w:r>
    </w:p>
    <w:p w14:paraId="6E190A45">
      <w:pPr>
        <w:keepNext w:val="0"/>
        <w:keepLines w:val="0"/>
        <w:pageBreakBefore w:val="0"/>
        <w:widowControl/>
        <w:kinsoku/>
        <w:wordWrap/>
        <w:topLinePunct w:val="0"/>
        <w:autoSpaceDE/>
        <w:autoSpaceDN/>
        <w:bidi w:val="0"/>
        <w:adjustRightInd/>
        <w:snapToGrid/>
        <w:spacing w:after="0" w:line="300" w:lineRule="auto"/>
        <w:ind w:firstLine="420"/>
        <w:jc w:val="left"/>
        <w:textAlignment w:val="auto"/>
        <w:rPr>
          <w:rFonts w:hint="eastAsia" w:ascii="宋体" w:hAnsi="宋体" w:eastAsia="宋体" w:cs="宋体"/>
          <w:sz w:val="21"/>
          <w:szCs w:val="21"/>
        </w:rPr>
      </w:pPr>
      <w:r>
        <w:rPr>
          <w:rFonts w:hint="eastAsia" w:ascii="宋体" w:hAnsi="宋体" w:eastAsia="宋体" w:cs="宋体"/>
          <w:b w:val="0"/>
          <w:i w:val="0"/>
          <w:sz w:val="21"/>
          <w:szCs w:val="21"/>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6ADD6547">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p>
    <w:p w14:paraId="4C71EA2E">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rPr>
      </w:pPr>
      <w:r>
        <w:rPr>
          <w:rFonts w:hint="eastAsia" w:ascii="宋体" w:hAnsi="宋体" w:eastAsia="宋体" w:cs="宋体"/>
          <w:b/>
          <w:i w:val="0"/>
          <w:sz w:val="21"/>
          <w:szCs w:val="21"/>
        </w:rPr>
        <w:t>收稿日期：</w:t>
      </w:r>
      <w:r>
        <w:rPr>
          <w:rFonts w:hint="eastAsia" w:ascii="宋体" w:hAnsi="宋体" w:eastAsia="宋体" w:cs="宋体"/>
          <w:b w:val="0"/>
          <w:i w:val="0"/>
          <w:sz w:val="21"/>
          <w:szCs w:val="21"/>
        </w:rPr>
        <w:t>202X-XX-XX</w:t>
      </w:r>
    </w:p>
    <w:p w14:paraId="334BD858">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b w:val="0"/>
          <w:i w:val="0"/>
          <w:sz w:val="21"/>
          <w:szCs w:val="21"/>
        </w:rPr>
      </w:pPr>
      <w:r>
        <w:rPr>
          <w:rFonts w:hint="eastAsia" w:ascii="宋体" w:hAnsi="宋体" w:eastAsia="宋体" w:cs="宋体"/>
          <w:b/>
          <w:i w:val="0"/>
          <w:sz w:val="21"/>
          <w:szCs w:val="21"/>
        </w:rPr>
        <w:t>作者简介：</w:t>
      </w:r>
      <w:r>
        <w:rPr>
          <w:rFonts w:hint="eastAsia" w:ascii="宋体" w:hAnsi="宋体" w:eastAsia="宋体" w:cs="宋体"/>
          <w:b w:val="0"/>
          <w:i w:val="0"/>
          <w:sz w:val="21"/>
          <w:szCs w:val="21"/>
        </w:rPr>
        <w:t>高海涛（1987-），男，本科，研究方向</w:t>
      </w:r>
      <w:r>
        <w:rPr>
          <w:rFonts w:hint="eastAsia" w:ascii="宋体" w:hAnsi="宋体" w:eastAsia="宋体" w:cs="宋体"/>
          <w:b w:val="0"/>
          <w:i w:val="0"/>
          <w:sz w:val="21"/>
          <w:szCs w:val="21"/>
          <w:lang w:eastAsia="zh-CN"/>
        </w:rPr>
        <w:t>：</w:t>
      </w:r>
      <w:r>
        <w:rPr>
          <w:rFonts w:hint="eastAsia" w:ascii="宋体" w:hAnsi="宋体" w:eastAsia="宋体" w:cs="宋体"/>
          <w:b w:val="0"/>
          <w:i w:val="0"/>
          <w:sz w:val="21"/>
          <w:szCs w:val="21"/>
        </w:rPr>
        <w:t>景观</w:t>
      </w:r>
      <w:bookmarkStart w:id="0" w:name="_GoBack"/>
      <w:bookmarkEnd w:id="0"/>
      <w:r>
        <w:rPr>
          <w:rFonts w:hint="eastAsia" w:ascii="宋体" w:hAnsi="宋体" w:eastAsia="宋体" w:cs="宋体"/>
          <w:b w:val="0"/>
          <w:i w:val="0"/>
          <w:sz w:val="21"/>
          <w:szCs w:val="21"/>
        </w:rPr>
        <w:t>设计工程管理。</w:t>
      </w:r>
    </w:p>
    <w:p w14:paraId="0EFB2A60">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b w:val="0"/>
          <w:i w:val="0"/>
          <w:sz w:val="21"/>
          <w:szCs w:val="21"/>
        </w:rPr>
      </w:pPr>
    </w:p>
    <w:p w14:paraId="5FF509E3">
      <w:pPr>
        <w:keepNext w:val="0"/>
        <w:keepLines w:val="0"/>
        <w:pageBreakBefore w:val="0"/>
        <w:widowControl/>
        <w:kinsoku/>
        <w:wordWrap/>
        <w:topLinePunct w:val="0"/>
        <w:autoSpaceDE/>
        <w:autoSpaceDN/>
        <w:bidi w:val="0"/>
        <w:adjustRightInd/>
        <w:snapToGrid/>
        <w:spacing w:after="0" w:line="300" w:lineRule="auto"/>
        <w:jc w:val="left"/>
        <w:textAlignment w:val="auto"/>
        <w:rPr>
          <w:rFonts w:hint="eastAsia" w:ascii="宋体" w:hAnsi="宋体" w:eastAsia="宋体" w:cs="宋体"/>
          <w:sz w:val="21"/>
          <w:szCs w:val="21"/>
          <w:lang w:eastAsia="zh-CN"/>
        </w:rPr>
      </w:pPr>
      <w:r>
        <w:rPr>
          <w:rFonts w:hint="eastAsia" w:ascii="宋体" w:hAnsi="宋体" w:eastAsia="宋体" w:cs="宋体"/>
          <w:b/>
          <w:i w:val="0"/>
          <w:sz w:val="21"/>
          <w:szCs w:val="21"/>
          <w:lang w:eastAsia="zh-CN"/>
        </w:rPr>
        <w:t>【</w:t>
      </w:r>
      <w:r>
        <w:rPr>
          <w:rFonts w:hint="eastAsia" w:ascii="宋体" w:hAnsi="宋体" w:eastAsia="宋体" w:cs="宋体"/>
          <w:b/>
          <w:i w:val="0"/>
          <w:sz w:val="21"/>
          <w:szCs w:val="21"/>
        </w:rPr>
        <w:t>参考文献</w:t>
      </w:r>
      <w:r>
        <w:rPr>
          <w:rFonts w:hint="eastAsia" w:ascii="宋体" w:hAnsi="宋体" w:eastAsia="宋体" w:cs="宋体"/>
          <w:b/>
          <w:i w:val="0"/>
          <w:sz w:val="21"/>
          <w:szCs w:val="21"/>
          <w:lang w:eastAsia="zh-CN"/>
        </w:rPr>
        <w:t>】</w:t>
      </w:r>
    </w:p>
    <w:p w14:paraId="435A1FCC">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 WU Y, YUE T, ZHIANG S, et al. StateFlow: Enhancing LLM Task-Solving through State-Driven Workflows[PP/OL]. (2024-03-11). https://arxiv.org/abs/2403.11322.</w:t>
      </w:r>
    </w:p>
    <w:p w14:paraId="48A244D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[2] HONG S, ZHUGE M, CHEN J, et al. MetaGPT: Meta Programming for a Multi-Agent Collaborative Framework[C]//Proceedings of the International Conference on Learning Representations (ICLR). Vienna: ICLR, 2024.</w:t>
      </w:r>
    </w:p>
    <w:p w14:paraId="2F68630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[3] LEWIS P, PEREZ E, PIKTUS A, et al. Retrieval-Augmented Generation for Knowledge-Intensive NLP Tasks[C]//Advances in Neural Information Processing Systems (NeurIPS). Online: NeurIPS, 2020.</w:t>
      </w:r>
    </w:p>
    <w:p w14:paraId="76667DF9">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[4] ZHANG Z, BO X, MA C, et al. A Survey on the Memory Mechanism of Large Language Model based Agents[J]. ACM Transactions on Information Systems, 2025, 43(6): 155.</w:t>
      </w:r>
    </w:p>
    <w:p w14:paraId="2892944F">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[5] SCHICK T, DWIVEDI-YU J, DESSI R, et al. Toolformer: Language Models Can Teach Themselves to Use Tools[C]//Advances in Neural Information Processing Systems (NeurIPS). Online: NeurIPS, 2023.</w:t>
      </w:r>
    </w:p>
    <w:p w14:paraId="1F75102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[6] TIWARI A, GUPTA V. A memory fabric for conversational AI agents enabling shared and persistent multiuser memory[J]. Discover Artificial Intelligence, 2026, 6: 239.</w:t>
      </w:r>
    </w:p>
    <w:p w14:paraId="2A8FD643">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[7] NONAKA I, TAKEUCHI H. The Knowledge-Creating Company: How Japanese Companies Create the Dynamics of Innovation[M]. New York: Oxford University Press, 1995.</w:t>
      </w:r>
    </w:p>
    <w:p w14:paraId="65F939FE">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[8] YAN J, HUSTED K, FATH B. Transforming organizational knowledge creation through artificial intelligence: a systematic review of the emergent literature[J]. VINE Journal of Information and Knowledge Management Systems, 2026, 56(2): 522-540.</w:t>
      </w:r>
    </w:p>
    <w:p w14:paraId="6BB817B6">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 xml:space="preserve">[9] </w:t>
      </w:r>
      <w:r>
        <w:rPr>
          <w:rFonts w:hint="eastAsia" w:ascii="宋体" w:hAnsi="宋体" w:eastAsia="宋体" w:cs="宋体"/>
          <w:kern w:val="2"/>
          <w:sz w:val="21"/>
          <w:szCs w:val="24"/>
          <w:lang w:eastAsia="zh-CN"/>
        </w:rPr>
        <w:t>刘峰, 李文钦, 顾问天, 等. DeepSeek赋能BIM工程管理平台的应用场景探索[J]. 土木建筑工程信息技术, 2025, 17(5): 68-74. DOI: 10.16670/j.cnki.cn11-5823/tu.2025.05.12</w:t>
      </w:r>
    </w:p>
    <w:p w14:paraId="460579E4">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[10] 兰峰, 王露霖, 李彦晓. 从“好房子”到“好工程”：AI技术赋能建筑工程全寿期的逻辑与路径[J]. 工程管理学报, 2025, 39(3): 1-6. DOI: 10.13991/j.cnki.jem.2025.03.001</w:t>
      </w:r>
    </w:p>
    <w:p w14:paraId="2304F527">
      <w:pPr>
        <w:widowControl w:val="0"/>
        <w:spacing w:after="0" w:line="240" w:lineRule="auto"/>
        <w:ind w:left="218" w:leftChars="0" w:hanging="218" w:hangingChars="104"/>
        <w:jc w:val="both"/>
        <w:rPr>
          <w:rFonts w:hint="eastAsia" w:ascii="Times New Roman" w:hAnsi="Times New Roman" w:eastAsia="宋体" w:cs="Times New Roman"/>
          <w:kern w:val="2"/>
          <w:sz w:val="21"/>
          <w:szCs w:val="24"/>
          <w:lang w:eastAsia="zh-CN"/>
        </w:rPr>
      </w:pPr>
      <w:r>
        <w:rPr>
          <w:rFonts w:hint="eastAsia" w:ascii="Times New Roman" w:hAnsi="Times New Roman" w:eastAsia="宋体" w:cs="Times New Roman"/>
          <w:kern w:val="2"/>
          <w:sz w:val="21"/>
          <w:szCs w:val="24"/>
          <w:lang w:eastAsia="zh-CN"/>
        </w:rPr>
        <w:t>[11] LIU N F, LIN K, HEWITT J, et al. Lost in the Middle: How Language Models Use Long Contexts[J]. Transactions of the Association for Computational Linguistics, 2024.</w:t>
      </w:r>
    </w:p>
    <w:p w14:paraId="6A891E53">
      <w:pPr>
        <w:rPr>
          <w:rFonts w:hint="eastAsia" w:ascii="Times New Roman" w:hAnsi="Times New Roman" w:eastAsia="宋体" w:cs="Times New Roman"/>
          <w:kern w:val="2"/>
          <w:sz w:val="21"/>
          <w:szCs w:val="24"/>
          <w:lang w:eastAsia="zh-CN"/>
        </w:rPr>
      </w:pP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D9AA1">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45B98D">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3245B98D">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37351"/>
    <w:rsid w:val="0BA93F62"/>
    <w:rsid w:val="1E474243"/>
    <w:rsid w:val="219345F5"/>
    <w:rsid w:val="2B7D203A"/>
    <w:rsid w:val="3F8A3A45"/>
    <w:rsid w:val="4E4F467B"/>
    <w:rsid w:val="56B14AC3"/>
    <w:rsid w:val="58FD4118"/>
    <w:rsid w:val="5C6C504A"/>
    <w:rsid w:val="60D913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2026-08-28T02:19:19Z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5FE255FE1B1F49C6970B10CDB1FB7473_12</vt:lpwstr>
  </property>
</Properties>
</file>