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FACA22">
      <w:pPr>
        <w:keepNext w:val="0"/>
        <w:keepLines w:val="0"/>
        <w:pageBreakBefore w:val="0"/>
        <w:widowControl/>
        <w:kinsoku/>
        <w:wordWrap/>
        <w:topLinePunct w:val="0"/>
        <w:autoSpaceDE/>
        <w:autoSpaceDN/>
        <w:bidi w:val="0"/>
        <w:adjustRightInd/>
        <w:snapToGrid/>
        <w:spacing w:after="0" w:line="300" w:lineRule="auto"/>
        <w:jc w:val="left"/>
        <w:textAlignment w:val="auto"/>
      </w:pPr>
      <w:r>
        <w:rPr>
          <w:rFonts w:ascii="Times New Roman" w:hAnsi="Times New Roman" w:eastAsia="宋体"/>
          <w:b/>
          <w:i w:val="0"/>
          <w:sz w:val="18"/>
        </w:rPr>
        <w:t>DOI：</w:t>
      </w:r>
      <w:r>
        <w:rPr>
          <w:rFonts w:ascii="Times New Roman" w:hAnsi="Times New Roman" w:eastAsia="宋体"/>
          <w:b w:val="0"/>
          <w:i w:val="0"/>
          <w:sz w:val="18"/>
        </w:rPr>
        <w:t>10.XXXX/XXXX.202X.XX.XXX</w:t>
      </w:r>
    </w:p>
    <w:p w14:paraId="6510CBF8">
      <w:pPr>
        <w:keepNext w:val="0"/>
        <w:keepLines w:val="0"/>
        <w:pageBreakBefore w:val="0"/>
        <w:widowControl/>
        <w:kinsoku/>
        <w:wordWrap/>
        <w:overflowPunct w:val="0"/>
        <w:topLinePunct w:val="0"/>
        <w:autoSpaceDE/>
        <w:autoSpaceDN/>
        <w:bidi w:val="0"/>
        <w:adjustRightInd/>
        <w:snapToGrid/>
        <w:spacing w:after="0" w:line="240" w:lineRule="auto"/>
        <w:jc w:val="center"/>
        <w:textAlignment w:val="auto"/>
        <w:rPr>
          <w:rFonts w:ascii="Times New Roman" w:hAnsi="Times New Roman" w:eastAsia="宋体"/>
          <w:b/>
          <w:bCs/>
          <w:i w:val="0"/>
          <w:sz w:val="32"/>
          <w:szCs w:val="32"/>
        </w:rPr>
      </w:pPr>
      <w:r>
        <w:rPr>
          <w:rFonts w:ascii="Times New Roman" w:hAnsi="Times New Roman" w:eastAsia="宋体"/>
          <w:b/>
          <w:bCs/>
          <w:i w:val="0"/>
          <w:sz w:val="32"/>
          <w:szCs w:val="32"/>
        </w:rPr>
        <w:t>面向地产项目团队的信息协同型AI智能体框架设计</w:t>
      </w:r>
    </w:p>
    <w:p w14:paraId="2548081E">
      <w:pPr>
        <w:keepNext w:val="0"/>
        <w:keepLines w:val="0"/>
        <w:pageBreakBefore w:val="0"/>
        <w:widowControl/>
        <w:kinsoku/>
        <w:wordWrap/>
        <w:overflowPunct w:val="0"/>
        <w:topLinePunct w:val="0"/>
        <w:autoSpaceDE/>
        <w:autoSpaceDN/>
        <w:bidi w:val="0"/>
        <w:adjustRightInd/>
        <w:snapToGrid/>
        <w:spacing w:after="0" w:line="240" w:lineRule="auto"/>
        <w:jc w:val="center"/>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高海涛</w:t>
      </w:r>
    </w:p>
    <w:p w14:paraId="3E4F4F91">
      <w:pPr>
        <w:keepNext w:val="0"/>
        <w:keepLines w:val="0"/>
        <w:pageBreakBefore w:val="0"/>
        <w:widowControl/>
        <w:kinsoku/>
        <w:wordWrap/>
        <w:overflowPunct w:val="0"/>
        <w:topLinePunct w:val="0"/>
        <w:autoSpaceDE/>
        <w:autoSpaceDN/>
        <w:bidi w:val="0"/>
        <w:adjustRightInd/>
        <w:snapToGrid/>
        <w:spacing w:after="0" w:line="240" w:lineRule="auto"/>
        <w:jc w:val="center"/>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（蓝城伟业控股有限公司，浙江 杭州，310000）</w:t>
      </w:r>
    </w:p>
    <w:p w14:paraId="4E45CD5E">
      <w:pPr>
        <w:keepNext w:val="0"/>
        <w:keepLines w:val="0"/>
        <w:pageBreakBefore w:val="0"/>
        <w:widowControl/>
        <w:kinsoku/>
        <w:wordWrap/>
        <w:overflowPunct w:val="0"/>
        <w:topLinePunct w:val="0"/>
        <w:autoSpaceDE/>
        <w:autoSpaceDN/>
        <w:bidi w:val="0"/>
        <w:adjustRightInd/>
        <w:snapToGrid/>
        <w:spacing w:after="0" w:line="300" w:lineRule="auto"/>
        <w:jc w:val="left"/>
        <w:textAlignment w:val="auto"/>
        <w:rPr>
          <w:sz w:val="18"/>
          <w:szCs w:val="18"/>
        </w:rPr>
      </w:pPr>
      <w:r>
        <w:rPr>
          <w:rFonts w:hint="eastAsia" w:ascii="Times New Roman" w:hAnsi="Times New Roman" w:eastAsia="宋体"/>
          <w:b/>
          <w:bCs/>
          <w:i w:val="0"/>
          <w:sz w:val="18"/>
          <w:szCs w:val="18"/>
          <w:lang w:eastAsia="zh-CN"/>
        </w:rPr>
        <w:t>【</w:t>
      </w:r>
      <w:r>
        <w:rPr>
          <w:rFonts w:ascii="Times New Roman" w:hAnsi="Times New Roman" w:eastAsia="宋体"/>
          <w:b/>
          <w:bCs/>
          <w:i w:val="0"/>
          <w:sz w:val="18"/>
          <w:szCs w:val="18"/>
        </w:rPr>
        <w:t>摘要</w:t>
      </w:r>
      <w:r>
        <w:rPr>
          <w:rFonts w:hint="eastAsia" w:ascii="Times New Roman" w:hAnsi="Times New Roman" w:eastAsia="宋体"/>
          <w:b/>
          <w:bCs/>
          <w:i w:val="0"/>
          <w:sz w:val="18"/>
          <w:szCs w:val="18"/>
          <w:lang w:eastAsia="zh-CN"/>
        </w:rPr>
        <w:t>】</w:t>
      </w:r>
      <w:r>
        <w:rPr>
          <w:rFonts w:ascii="Times New Roman" w:hAnsi="Times New Roman" w:eastAsia="宋体"/>
          <w:b w:val="0"/>
          <w:i w:val="0"/>
          <w:sz w:val="18"/>
          <w:szCs w:val="18"/>
        </w:rPr>
        <w:t>随着大语言模型与AI Agent技术发展，人工智能正由单点任务辅助向复杂业务协同演进。针对地产项目数据多源异构、状态动态变化、业务规则复杂及组织权责明确等特征，本文构建了一套领域管理结构驱动的团队型智能体框架，将项目全景信息、领域知识与组织规则融入运行体系，并引入领域特化的自主任务编排机制，形成面向团队协作的信息协同能力。基于已实现的Emily系统，通过铺装验收和跨部门软装品质追溯两个实例验证其落地方式。实践表明，该框架能够突破传统AI工具面向单人与单任务的应用模式，为AI由个人效率工具向团队协同与企业智能化基础设施演进提供一种可行的工程实践路径。</w:t>
      </w:r>
    </w:p>
    <w:p w14:paraId="16A72B18">
      <w:pPr>
        <w:keepNext w:val="0"/>
        <w:keepLines w:val="0"/>
        <w:pageBreakBefore w:val="0"/>
        <w:widowControl/>
        <w:kinsoku/>
        <w:wordWrap/>
        <w:overflowPunct w:val="0"/>
        <w:topLinePunct w:val="0"/>
        <w:autoSpaceDE/>
        <w:autoSpaceDN/>
        <w:bidi w:val="0"/>
        <w:adjustRightInd/>
        <w:snapToGrid/>
        <w:spacing w:after="0" w:line="300" w:lineRule="auto"/>
        <w:jc w:val="left"/>
        <w:textAlignment w:val="auto"/>
        <w:rPr>
          <w:rFonts w:ascii="Times New Roman" w:hAnsi="Times New Roman" w:eastAsia="宋体"/>
          <w:b w:val="0"/>
          <w:i w:val="0"/>
          <w:sz w:val="18"/>
          <w:szCs w:val="18"/>
        </w:rPr>
      </w:pPr>
      <w:r>
        <w:rPr>
          <w:rFonts w:hint="eastAsia" w:ascii="Times New Roman" w:hAnsi="Times New Roman" w:eastAsia="宋体"/>
          <w:b/>
          <w:bCs/>
          <w:i w:val="0"/>
          <w:sz w:val="18"/>
          <w:szCs w:val="18"/>
          <w:lang w:eastAsia="zh-CN"/>
        </w:rPr>
        <w:t>【</w:t>
      </w:r>
      <w:r>
        <w:rPr>
          <w:rFonts w:ascii="Times New Roman" w:hAnsi="Times New Roman" w:eastAsia="宋体"/>
          <w:b/>
          <w:bCs/>
          <w:i w:val="0"/>
          <w:sz w:val="18"/>
          <w:szCs w:val="18"/>
        </w:rPr>
        <w:t>关键词</w:t>
      </w:r>
      <w:r>
        <w:rPr>
          <w:rFonts w:hint="eastAsia" w:ascii="Times New Roman" w:hAnsi="Times New Roman" w:eastAsia="宋体"/>
          <w:b/>
          <w:bCs/>
          <w:i w:val="0"/>
          <w:sz w:val="18"/>
          <w:szCs w:val="18"/>
          <w:lang w:eastAsia="zh-CN"/>
        </w:rPr>
        <w:t>】</w:t>
      </w:r>
      <w:r>
        <w:rPr>
          <w:rFonts w:ascii="Times New Roman" w:hAnsi="Times New Roman" w:eastAsia="宋体"/>
          <w:b w:val="0"/>
          <w:i w:val="0"/>
          <w:sz w:val="18"/>
          <w:szCs w:val="18"/>
        </w:rPr>
        <w:t>智能体；信息协同；项目管理；知识管理；大语言模型；地产项目</w:t>
      </w:r>
    </w:p>
    <w:p w14:paraId="6AA611E5">
      <w:pPr>
        <w:keepNext w:val="0"/>
        <w:keepLines w:val="0"/>
        <w:pageBreakBefore w:val="0"/>
        <w:widowControl/>
        <w:kinsoku/>
        <w:wordWrap/>
        <w:overflowPunct w:val="0"/>
        <w:topLinePunct w:val="0"/>
        <w:autoSpaceDE/>
        <w:autoSpaceDN/>
        <w:bidi w:val="0"/>
        <w:adjustRightInd/>
        <w:snapToGrid/>
        <w:spacing w:after="0" w:line="300" w:lineRule="auto"/>
        <w:jc w:val="left"/>
        <w:textAlignment w:val="auto"/>
        <w:rPr>
          <w:rFonts w:ascii="Times New Roman" w:hAnsi="Times New Roman" w:eastAsia="宋体"/>
          <w:b w:val="0"/>
          <w:i w:val="0"/>
          <w:sz w:val="18"/>
          <w:szCs w:val="18"/>
        </w:rPr>
      </w:pPr>
      <w:r>
        <w:rPr>
          <w:rFonts w:hint="eastAsia" w:ascii="Times New Roman" w:hAnsi="Times New Roman" w:eastAsia="宋体"/>
          <w:b/>
          <w:bCs/>
          <w:i w:val="0"/>
          <w:sz w:val="18"/>
          <w:szCs w:val="18"/>
          <w:lang w:eastAsia="zh-CN"/>
        </w:rPr>
        <w:t>【</w:t>
      </w:r>
      <w:r>
        <w:rPr>
          <w:rFonts w:ascii="Times New Roman" w:hAnsi="Times New Roman" w:eastAsia="宋体"/>
          <w:b/>
          <w:bCs/>
          <w:i w:val="0"/>
          <w:sz w:val="18"/>
          <w:szCs w:val="18"/>
        </w:rPr>
        <w:t>中图分类号</w:t>
      </w:r>
      <w:r>
        <w:rPr>
          <w:rFonts w:hint="eastAsia" w:ascii="Times New Roman" w:hAnsi="Times New Roman" w:eastAsia="宋体"/>
          <w:b/>
          <w:bCs/>
          <w:i w:val="0"/>
          <w:sz w:val="18"/>
          <w:szCs w:val="18"/>
          <w:lang w:eastAsia="zh-CN"/>
        </w:rPr>
        <w:t>】</w:t>
      </w:r>
      <w:r>
        <w:rPr>
          <w:rFonts w:ascii="Times New Roman" w:hAnsi="Times New Roman" w:eastAsia="宋体"/>
          <w:b w:val="0"/>
          <w:i w:val="0"/>
          <w:sz w:val="18"/>
          <w:szCs w:val="18"/>
        </w:rPr>
        <w:t xml:space="preserve">TU71；TP182      </w:t>
      </w:r>
      <w:r>
        <w:rPr>
          <w:rFonts w:hint="eastAsia" w:ascii="Times New Roman" w:hAnsi="Times New Roman" w:eastAsia="宋体"/>
          <w:b w:val="0"/>
          <w:i w:val="0"/>
          <w:sz w:val="18"/>
          <w:szCs w:val="18"/>
          <w:lang w:eastAsia="zh-CN"/>
        </w:rPr>
        <w:t>【</w:t>
      </w:r>
      <w:r>
        <w:rPr>
          <w:rFonts w:ascii="Times New Roman" w:hAnsi="Times New Roman" w:eastAsia="宋体"/>
          <w:b/>
          <w:bCs/>
          <w:i w:val="0"/>
          <w:sz w:val="18"/>
          <w:szCs w:val="18"/>
        </w:rPr>
        <w:t>文献标识码</w:t>
      </w:r>
      <w:r>
        <w:rPr>
          <w:rFonts w:hint="eastAsia" w:ascii="Times New Roman" w:hAnsi="Times New Roman" w:eastAsia="宋体"/>
          <w:b/>
          <w:bCs/>
          <w:i w:val="0"/>
          <w:sz w:val="18"/>
          <w:szCs w:val="18"/>
          <w:lang w:eastAsia="zh-CN"/>
        </w:rPr>
        <w:t>】</w:t>
      </w:r>
      <w:r>
        <w:rPr>
          <w:rFonts w:ascii="Times New Roman" w:hAnsi="Times New Roman" w:eastAsia="宋体"/>
          <w:b/>
          <w:bCs/>
          <w:i w:val="0"/>
          <w:sz w:val="18"/>
          <w:szCs w:val="18"/>
        </w:rPr>
        <w:t>：</w:t>
      </w:r>
      <w:r>
        <w:rPr>
          <w:rFonts w:ascii="Times New Roman" w:hAnsi="Times New Roman" w:eastAsia="宋体"/>
          <w:b w:val="0"/>
          <w:i w:val="0"/>
          <w:sz w:val="18"/>
          <w:szCs w:val="18"/>
        </w:rPr>
        <w:t xml:space="preserve">A    </w:t>
      </w:r>
    </w:p>
    <w:p w14:paraId="19198B12">
      <w:pPr>
        <w:keepNext w:val="0"/>
        <w:keepLines w:val="0"/>
        <w:pageBreakBefore w:val="0"/>
        <w:widowControl/>
        <w:kinsoku/>
        <w:wordWrap/>
        <w:overflowPunct w:val="0"/>
        <w:topLinePunct w:val="0"/>
        <w:autoSpaceDE/>
        <w:autoSpaceDN/>
        <w:bidi w:val="0"/>
        <w:adjustRightInd/>
        <w:snapToGrid/>
        <w:spacing w:after="0" w:line="300" w:lineRule="auto"/>
        <w:jc w:val="left"/>
        <w:textAlignment w:val="auto"/>
        <w:rPr>
          <w:rFonts w:ascii="Times New Roman" w:hAnsi="Times New Roman" w:eastAsia="宋体"/>
          <w:b w:val="0"/>
          <w:i w:val="0"/>
          <w:sz w:val="18"/>
          <w:szCs w:val="18"/>
        </w:rPr>
      </w:pPr>
    </w:p>
    <w:p w14:paraId="1BCE728C">
      <w:pPr>
        <w:keepNext w:val="0"/>
        <w:keepLines w:val="0"/>
        <w:pageBreakBefore w:val="0"/>
        <w:widowControl/>
        <w:kinsoku/>
        <w:wordWrap/>
        <w:overflowPunct w:val="0"/>
        <w:topLinePunct w:val="0"/>
        <w:autoSpaceDE/>
        <w:autoSpaceDN/>
        <w:bidi w:val="0"/>
        <w:adjustRightInd/>
        <w:snapToGrid/>
        <w:spacing w:after="0" w:line="240" w:lineRule="auto"/>
        <w:jc w:val="center"/>
        <w:textAlignment w:val="auto"/>
        <w:rPr>
          <w:rFonts w:hint="eastAsia" w:ascii="Times New Roman" w:hAnsi="Times New Roman" w:eastAsia="宋体"/>
          <w:b/>
          <w:bCs/>
          <w:i w:val="0"/>
          <w:sz w:val="32"/>
          <w:szCs w:val="32"/>
        </w:rPr>
      </w:pPr>
      <w:r>
        <w:rPr>
          <w:rFonts w:hint="eastAsia" w:ascii="Times New Roman" w:hAnsi="Times New Roman" w:eastAsia="宋体"/>
          <w:b/>
          <w:bCs/>
          <w:i w:val="0"/>
          <w:sz w:val="32"/>
          <w:szCs w:val="32"/>
        </w:rPr>
        <w:t>Framework Design of Information Collaborative AI Agent for Real Estate Project Teams</w:t>
      </w:r>
    </w:p>
    <w:p w14:paraId="7C1455FB">
      <w:pPr>
        <w:keepNext w:val="0"/>
        <w:keepLines w:val="0"/>
        <w:pageBreakBefore w:val="0"/>
        <w:widowControl/>
        <w:kinsoku/>
        <w:wordWrap/>
        <w:overflowPunct w:val="0"/>
        <w:topLinePunct w:val="0"/>
        <w:autoSpaceDE/>
        <w:autoSpaceDN/>
        <w:bidi w:val="0"/>
        <w:adjustRightInd/>
        <w:snapToGrid/>
        <w:spacing w:after="0" w:line="240" w:lineRule="auto"/>
        <w:jc w:val="center"/>
        <w:textAlignment w:val="auto"/>
        <w:rPr>
          <w:rFonts w:hint="eastAsia" w:ascii="Times New Roman" w:hAnsi="Times New Roman" w:eastAsia="宋体"/>
          <w:b w:val="0"/>
          <w:i w:val="0"/>
          <w:sz w:val="21"/>
          <w:szCs w:val="21"/>
        </w:rPr>
      </w:pPr>
      <w:r>
        <w:rPr>
          <w:rFonts w:hint="eastAsia" w:ascii="Times New Roman" w:hAnsi="Times New Roman" w:eastAsia="宋体"/>
          <w:b w:val="0"/>
          <w:i w:val="0"/>
          <w:sz w:val="21"/>
          <w:szCs w:val="21"/>
        </w:rPr>
        <w:t>GAO Haitao</w:t>
      </w:r>
    </w:p>
    <w:p w14:paraId="7A4612B6">
      <w:pPr>
        <w:keepNext w:val="0"/>
        <w:keepLines w:val="0"/>
        <w:pageBreakBefore w:val="0"/>
        <w:widowControl/>
        <w:kinsoku/>
        <w:wordWrap/>
        <w:overflowPunct w:val="0"/>
        <w:topLinePunct w:val="0"/>
        <w:autoSpaceDE/>
        <w:autoSpaceDN/>
        <w:bidi w:val="0"/>
        <w:adjustRightInd/>
        <w:snapToGrid/>
        <w:spacing w:after="0" w:line="240" w:lineRule="auto"/>
        <w:jc w:val="center"/>
        <w:textAlignment w:val="auto"/>
        <w:rPr>
          <w:rFonts w:ascii="Times New Roman" w:hAnsi="Times New Roman" w:eastAsia="宋体"/>
          <w:b w:val="0"/>
          <w:i w:val="0"/>
          <w:sz w:val="21"/>
          <w:szCs w:val="21"/>
        </w:rPr>
      </w:pPr>
      <w:r>
        <w:rPr>
          <w:rFonts w:hint="eastAsia" w:ascii="Times New Roman" w:hAnsi="Times New Roman" w:eastAsia="宋体"/>
          <w:b w:val="0"/>
          <w:i w:val="0"/>
          <w:sz w:val="21"/>
          <w:szCs w:val="21"/>
        </w:rPr>
        <w:t>(Weiye Buletown Holdings Co., Ltd., Hangzhou, Zhejiang 310000, China)</w:t>
      </w:r>
    </w:p>
    <w:p w14:paraId="417CB597">
      <w:pPr>
        <w:keepNext w:val="0"/>
        <w:keepLines w:val="0"/>
        <w:pageBreakBefore w:val="0"/>
        <w:widowControl/>
        <w:kinsoku/>
        <w:wordWrap/>
        <w:overflowPunct/>
        <w:topLinePunct w:val="0"/>
        <w:autoSpaceDE/>
        <w:autoSpaceDN/>
        <w:bidi w:val="0"/>
        <w:adjustRightInd/>
        <w:snapToGrid/>
        <w:spacing w:after="0" w:line="300" w:lineRule="auto"/>
        <w:jc w:val="left"/>
        <w:textAlignment w:val="auto"/>
        <w:rPr>
          <w:rFonts w:hint="default" w:ascii="Times New Roman" w:hAnsi="Times New Roman" w:eastAsia="宋体" w:cs="Times New Roman"/>
          <w:b w:val="0"/>
          <w:i w:val="0"/>
          <w:snapToGrid w:val="0"/>
          <w:position w:val="0"/>
          <w:sz w:val="18"/>
          <w:szCs w:val="18"/>
        </w:rPr>
      </w:pPr>
      <w:r>
        <w:rPr>
          <w:rFonts w:hint="eastAsia" w:ascii="Times New Roman" w:hAnsi="Times New Roman" w:eastAsia="宋体" w:cs="Times New Roman"/>
          <w:b/>
          <w:bCs/>
          <w:i w:val="0"/>
          <w:sz w:val="18"/>
          <w:szCs w:val="18"/>
          <w:lang w:eastAsia="zh-CN"/>
        </w:rPr>
        <w:t>【</w:t>
      </w:r>
      <w:r>
        <w:rPr>
          <w:rFonts w:hint="default" w:ascii="Times New Roman" w:hAnsi="Times New Roman" w:eastAsia="宋体" w:cs="Times New Roman"/>
          <w:b/>
          <w:bCs/>
          <w:i w:val="0"/>
          <w:sz w:val="18"/>
          <w:szCs w:val="18"/>
        </w:rPr>
        <w:t>Abstract</w:t>
      </w:r>
      <w:r>
        <w:rPr>
          <w:rFonts w:hint="eastAsia" w:ascii="Times New Roman" w:hAnsi="Times New Roman" w:eastAsia="宋体" w:cs="Times New Roman"/>
          <w:b/>
          <w:bCs/>
          <w:i w:val="0"/>
          <w:sz w:val="18"/>
          <w:szCs w:val="18"/>
          <w:lang w:eastAsia="zh-CN"/>
        </w:rPr>
        <w:t>】</w:t>
      </w:r>
      <w:r>
        <w:rPr>
          <w:rFonts w:hint="default" w:ascii="Times New Roman" w:hAnsi="Times New Roman" w:eastAsia="宋体" w:cs="Times New Roman"/>
          <w:b w:val="0"/>
          <w:i w:val="0"/>
          <w:sz w:val="18"/>
          <w:szCs w:val="18"/>
          <w:lang w:val="en-US" w:eastAsia="zh-CN"/>
        </w:rPr>
        <w:t xml:space="preserve"> </w:t>
      </w:r>
      <w:r>
        <w:rPr>
          <w:rFonts w:hint="default" w:ascii="Times New Roman" w:hAnsi="Times New Roman" w:eastAsia="宋体" w:cs="Times New Roman"/>
          <w:b w:val="0"/>
          <w:i w:val="0"/>
          <w:sz w:val="18"/>
          <w:szCs w:val="18"/>
        </w:rPr>
        <w:t xml:space="preserve">With the advancement of large‑language models and AI Agent technologies, artificial intelligence is evolving from single‑point task assistance to complex business collaboration. Targeting the characteristics of real‑estate projects, such as multi‑source heterogeneous data, dynamically shifting statuses, complex business rules, and clearly defined organizational authority and responsibilities, this paper constructs a domain‑management‑structure‑driven team‑oriented agent framework. It incorporates full‑project panoramic information, domain knowledge and organizational rules into the runtime system, and introduces a domain‑specific autonomous task‑orchestration mechanism to realize information‑collaboration capabilities oriented toward team cooperation. Based on the implemented Emily system, its implementation approach is validated through two practical cases: garden pavement acceptance and cross‑departmental soft‑furnishing quality traceability. Practical results show that the proposed framework can break the application paradigm of traditional AI tools designed for individual users and single tasks, offering a feasible engineering practice path for AI to evolve from personal‑productivity tools into team‑collaboration </w:t>
      </w:r>
      <w:r>
        <w:rPr>
          <w:rFonts w:hint="default" w:ascii="Times New Roman" w:hAnsi="Times New Roman" w:eastAsia="宋体" w:cs="Times New Roman"/>
          <w:b w:val="0"/>
          <w:i w:val="0"/>
          <w:snapToGrid w:val="0"/>
          <w:position w:val="0"/>
          <w:sz w:val="18"/>
          <w:szCs w:val="18"/>
        </w:rPr>
        <w:t>enterprise‑intelligent infrastructure.</w:t>
      </w:r>
    </w:p>
    <w:p w14:paraId="211419D5">
      <w:pPr>
        <w:keepNext w:val="0"/>
        <w:keepLines w:val="0"/>
        <w:pageBreakBefore w:val="0"/>
        <w:widowControl/>
        <w:kinsoku/>
        <w:wordWrap/>
        <w:overflowPunct/>
        <w:topLinePunct w:val="0"/>
        <w:autoSpaceDE/>
        <w:autoSpaceDN/>
        <w:bidi w:val="0"/>
        <w:adjustRightInd/>
        <w:snapToGrid/>
        <w:spacing w:after="0" w:line="300" w:lineRule="auto"/>
        <w:jc w:val="left"/>
        <w:textAlignment w:val="auto"/>
        <w:rPr>
          <w:rFonts w:hint="eastAsia" w:ascii="Times New Roman" w:hAnsi="Times New Roman" w:eastAsia="宋体" w:cs="Times New Roman"/>
          <w:b/>
          <w:bCs/>
          <w:i w:val="0"/>
          <w:snapToGrid w:val="0"/>
          <w:position w:val="0"/>
          <w:sz w:val="18"/>
          <w:szCs w:val="18"/>
          <w:lang w:val="en-US" w:eastAsia="zh-CN"/>
        </w:rPr>
      </w:pPr>
      <w:r>
        <w:rPr>
          <w:rFonts w:hint="eastAsia" w:ascii="Times New Roman" w:hAnsi="Times New Roman" w:eastAsia="宋体" w:cs="Times New Roman"/>
          <w:b/>
          <w:bCs/>
          <w:i w:val="0"/>
          <w:snapToGrid w:val="0"/>
          <w:position w:val="0"/>
          <w:sz w:val="18"/>
          <w:szCs w:val="18"/>
          <w:lang w:val="en-US" w:eastAsia="zh-CN"/>
        </w:rPr>
        <w:t>【Keyworlds</w:t>
      </w:r>
      <w:bookmarkStart w:id="0" w:name="_GoBack"/>
      <w:bookmarkEnd w:id="0"/>
      <w:r>
        <w:rPr>
          <w:rFonts w:hint="eastAsia" w:ascii="Times New Roman" w:hAnsi="Times New Roman" w:eastAsia="宋体" w:cs="Times New Roman"/>
          <w:b/>
          <w:bCs/>
          <w:i w:val="0"/>
          <w:snapToGrid w:val="0"/>
          <w:position w:val="0"/>
          <w:sz w:val="18"/>
          <w:szCs w:val="18"/>
          <w:lang w:val="en-US" w:eastAsia="zh-CN"/>
        </w:rPr>
        <w:t>】</w:t>
      </w:r>
      <w:r>
        <w:rPr>
          <w:rFonts w:hint="eastAsia" w:ascii="Times New Roman" w:hAnsi="Times New Roman" w:eastAsia="宋体" w:cs="Times New Roman"/>
          <w:b w:val="0"/>
          <w:bCs w:val="0"/>
          <w:i w:val="0"/>
          <w:snapToGrid w:val="0"/>
          <w:position w:val="0"/>
          <w:sz w:val="18"/>
          <w:szCs w:val="18"/>
          <w:lang w:val="en-US" w:eastAsia="zh-CN"/>
        </w:rPr>
        <w:t>Agent; Information Collaboration; Project Management; Knowledge Management; Large Language Models; Real‑estate Projects</w:t>
      </w:r>
    </w:p>
    <w:p w14:paraId="459AAC60">
      <w:pPr>
        <w:keepNext w:val="0"/>
        <w:keepLines w:val="0"/>
        <w:pageBreakBefore w:val="0"/>
        <w:widowControl/>
        <w:kinsoku/>
        <w:wordWrap/>
        <w:overflowPunct/>
        <w:topLinePunct w:val="0"/>
        <w:autoSpaceDE/>
        <w:autoSpaceDN/>
        <w:bidi w:val="0"/>
        <w:adjustRightInd w:val="0"/>
        <w:snapToGrid w:val="0"/>
        <w:spacing w:before="289" w:beforeLines="80" w:after="145" w:afterLines="40" w:line="300" w:lineRule="auto"/>
        <w:ind w:firstLine="0"/>
        <w:jc w:val="left"/>
        <w:textAlignment w:val="auto"/>
        <w:rPr>
          <w:rFonts w:hint="eastAsia" w:ascii="Times New Roman" w:hAnsi="Times New Roman" w:eastAsia="宋体"/>
          <w:b/>
          <w:bCs/>
          <w:i w:val="0"/>
          <w:sz w:val="21"/>
        </w:rPr>
      </w:pPr>
      <w:r>
        <w:rPr>
          <w:rFonts w:hint="eastAsia" w:ascii="Times New Roman" w:hAnsi="Times New Roman" w:eastAsia="宋体"/>
          <w:b/>
          <w:bCs/>
          <w:i w:val="0"/>
          <w:sz w:val="21"/>
        </w:rPr>
        <w:t>1 引言</w:t>
      </w:r>
    </w:p>
    <w:p w14:paraId="57825490">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1.1 问题背景</w:t>
      </w:r>
    </w:p>
    <w:p w14:paraId="7F5E5B54">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地产行业数字化建设持续推进，项目管理平台、协同办公系统、企业IM以及各类专业软件已经形成较为成熟的信息化基础，企业也积累了大量结构化业务数据与项目文档。然而，项目团队日常运行产生的信息并不完全进入这些正式系统。一线人员在现场、会议和即时通讯中形成的大量细节信息、问题处理过程、试错经验和情境判断，往往通过人员之间的沟通逐级流转，最终沉淀的通常只是经过加工的结果性信息。由此产生了“正式数据完整、过程认知分散”的现象。与此同时，地产项目具有明显的动态性和组织协同性。项目由多个专业条线共同参与，状态随节点推进变化，业务既包含标准流程，也包含大量情境化协调，不同信息还具有不同的权限和责任边界。传统数字化系统擅长处理预设流程和结构化数据，但对自然语言过程信息和非预设任务的关联处理能力有限。近年来的通用AI工具具备较强的自然语言理解和知识处理能力，但大多以个人任务为中心，难以持续进入团队信息流并形成组织公共认知。因此，本文关注的核心问题不是“如何让AI完成某一个地产任务”，而是：如何针对地产项目管理结构，将通用AI Agent重构为能够持续组织团队公共信息并支持受控业务协同的领域化框架？</w:t>
      </w:r>
    </w:p>
    <w:p w14:paraId="4AA00CB2">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1.2 地产项目团队的信息结构特征</w:t>
      </w:r>
    </w:p>
    <w:p w14:paraId="31FB30FB">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sz w:val="21"/>
          <w:szCs w:val="21"/>
        </w:rPr>
      </w:pPr>
      <w:r>
        <w:rPr>
          <w:rFonts w:hint="eastAsia" w:ascii="宋体" w:hAnsi="宋体" w:eastAsia="宋体" w:cs="宋体"/>
          <w:b w:val="0"/>
          <w:i w:val="0"/>
          <w:sz w:val="21"/>
          <w:szCs w:val="21"/>
        </w:rPr>
        <w:t>从项目管理对象来看，地产项目的信息并非简单的文档集合，而是由项目状态、过程事件、项目资料、组织规则、业务流程、人员关系和系统能力等多类要素共同构成。这些要素具有不同的生命周期和作用方式：项目状态持续变化，过程事件不断产生，项目资料跨载体存在，组织规则具有约束性，业务流程具有步骤与结果要求，人员关系决定访问边界，而系统能力决定Agent能够采取哪些实际操作。因此，团队级Agent至少需要满足四类技术需求。</w:t>
      </w:r>
    </w:p>
    <w:p w14:paraId="0969D905">
      <w:pPr>
        <w:keepNext w:val="0"/>
        <w:keepLines w:val="0"/>
        <w:pageBreakBefore w:val="0"/>
        <w:widowControl/>
        <w:kinsoku/>
        <w:wordWrap/>
        <w:topLinePunct w:val="0"/>
        <w:autoSpaceDE/>
        <w:autoSpaceDN/>
        <w:bidi w:val="0"/>
        <w:adjustRightInd/>
        <w:snapToGrid/>
        <w:spacing w:after="0" w:line="300" w:lineRule="auto"/>
        <w:jc w:val="center"/>
        <w:textAlignment w:val="auto"/>
        <w:rPr>
          <w:rFonts w:hint="eastAsia" w:ascii="宋体" w:hAnsi="宋体" w:eastAsia="宋体" w:cs="宋体"/>
          <w:sz w:val="21"/>
          <w:szCs w:val="21"/>
        </w:rPr>
      </w:pPr>
      <w:r>
        <w:rPr>
          <w:rFonts w:hint="eastAsia" w:ascii="宋体" w:hAnsi="宋体" w:eastAsia="宋体" w:cs="宋体"/>
          <w:b/>
          <w:i w:val="0"/>
          <w:sz w:val="21"/>
          <w:szCs w:val="21"/>
        </w:rPr>
        <w:t>表1 地产项目管理特征与Agent技术需求</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3"/>
        <w:gridCol w:w="4237"/>
        <w:gridCol w:w="3120"/>
      </w:tblGrid>
      <w:tr w14:paraId="44B9E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3" w:type="dxa"/>
            <w:shd w:val="clear" w:color="auto" w:fill="F2F2F2"/>
            <w:tcMar>
              <w:top w:w="80" w:type="dxa"/>
              <w:left w:w="120" w:type="dxa"/>
              <w:bottom w:w="80" w:type="dxa"/>
              <w:right w:w="120" w:type="dxa"/>
            </w:tcMar>
          </w:tcPr>
          <w:p w14:paraId="67F9CF28">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i w:val="0"/>
                <w:sz w:val="21"/>
                <w:szCs w:val="21"/>
              </w:rPr>
              <w:t>地产项目特征</w:t>
            </w:r>
          </w:p>
        </w:tc>
        <w:tc>
          <w:tcPr>
            <w:tcW w:w="4237" w:type="dxa"/>
            <w:shd w:val="clear" w:color="auto" w:fill="F2F2F2"/>
            <w:tcMar>
              <w:top w:w="80" w:type="dxa"/>
              <w:left w:w="120" w:type="dxa"/>
              <w:bottom w:w="80" w:type="dxa"/>
              <w:right w:w="120" w:type="dxa"/>
            </w:tcMar>
          </w:tcPr>
          <w:p w14:paraId="4FCA8919">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i w:val="0"/>
                <w:sz w:val="21"/>
                <w:szCs w:val="21"/>
              </w:rPr>
              <w:t>典型表现</w:t>
            </w:r>
          </w:p>
        </w:tc>
        <w:tc>
          <w:tcPr>
            <w:tcW w:w="3120" w:type="dxa"/>
            <w:shd w:val="clear" w:color="auto" w:fill="F2F2F2"/>
            <w:tcMar>
              <w:top w:w="80" w:type="dxa"/>
              <w:left w:w="120" w:type="dxa"/>
              <w:bottom w:w="80" w:type="dxa"/>
              <w:right w:w="120" w:type="dxa"/>
            </w:tcMar>
          </w:tcPr>
          <w:p w14:paraId="3AFA6B4C">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i w:val="0"/>
                <w:sz w:val="21"/>
                <w:szCs w:val="21"/>
              </w:rPr>
              <w:t>Agent技术需求</w:t>
            </w:r>
          </w:p>
        </w:tc>
      </w:tr>
      <w:tr w14:paraId="60084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3" w:type="dxa"/>
            <w:shd w:val="clear" w:color="auto" w:fill="FFFFFF"/>
            <w:tcMar>
              <w:top w:w="80" w:type="dxa"/>
              <w:left w:w="120" w:type="dxa"/>
              <w:bottom w:w="80" w:type="dxa"/>
              <w:right w:w="120" w:type="dxa"/>
            </w:tcMar>
          </w:tcPr>
          <w:p w14:paraId="5483EA93">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状态动态</w:t>
            </w:r>
          </w:p>
        </w:tc>
        <w:tc>
          <w:tcPr>
            <w:tcW w:w="4237" w:type="dxa"/>
            <w:shd w:val="clear" w:color="auto" w:fill="FFFFFF"/>
            <w:tcMar>
              <w:top w:w="80" w:type="dxa"/>
              <w:left w:w="120" w:type="dxa"/>
              <w:bottom w:w="80" w:type="dxa"/>
              <w:right w:w="120" w:type="dxa"/>
            </w:tcMar>
          </w:tcPr>
          <w:p w14:paraId="69E2E2C2">
            <w:pPr>
              <w:keepNext w:val="0"/>
              <w:keepLines w:val="0"/>
              <w:pageBreakBefore w:val="0"/>
              <w:widowControl/>
              <w:kinsoku/>
              <w:wordWrap/>
              <w:topLinePunct w:val="0"/>
              <w:autoSpaceDE/>
              <w:autoSpaceDN/>
              <w:bidi w:val="0"/>
              <w:adjustRightInd/>
              <w:snapToGrid/>
              <w:spacing w:after="0" w:line="240" w:lineRule="auto"/>
              <w:jc w:val="left"/>
              <w:textAlignment w:val="auto"/>
              <w:rPr>
                <w:rFonts w:hint="eastAsia" w:ascii="宋体" w:hAnsi="宋体" w:eastAsia="宋体" w:cs="宋体"/>
                <w:sz w:val="21"/>
                <w:szCs w:val="21"/>
              </w:rPr>
            </w:pPr>
            <w:r>
              <w:rPr>
                <w:rFonts w:hint="eastAsia" w:ascii="宋体" w:hAnsi="宋体" w:eastAsia="宋体" w:cs="宋体"/>
                <w:b w:val="0"/>
                <w:i w:val="0"/>
                <w:sz w:val="21"/>
                <w:szCs w:val="21"/>
              </w:rPr>
              <w:t>节点持续推进、状态存在合法转移关系</w:t>
            </w:r>
          </w:p>
        </w:tc>
        <w:tc>
          <w:tcPr>
            <w:tcW w:w="3120" w:type="dxa"/>
            <w:shd w:val="clear" w:color="auto" w:fill="FFFFFF"/>
            <w:tcMar>
              <w:top w:w="80" w:type="dxa"/>
              <w:left w:w="120" w:type="dxa"/>
              <w:bottom w:w="80" w:type="dxa"/>
              <w:right w:w="120" w:type="dxa"/>
            </w:tcMar>
          </w:tcPr>
          <w:p w14:paraId="7670BA47">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动态状态感知</w:t>
            </w:r>
          </w:p>
        </w:tc>
      </w:tr>
      <w:tr w14:paraId="67EA1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3" w:type="dxa"/>
            <w:shd w:val="clear" w:color="auto" w:fill="FFFFFF"/>
            <w:tcMar>
              <w:top w:w="80" w:type="dxa"/>
              <w:left w:w="120" w:type="dxa"/>
              <w:bottom w:w="80" w:type="dxa"/>
              <w:right w:w="120" w:type="dxa"/>
            </w:tcMar>
          </w:tcPr>
          <w:p w14:paraId="1F0C8585">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信息多源</w:t>
            </w:r>
          </w:p>
        </w:tc>
        <w:tc>
          <w:tcPr>
            <w:tcW w:w="4237" w:type="dxa"/>
            <w:shd w:val="clear" w:color="auto" w:fill="FFFFFF"/>
            <w:tcMar>
              <w:top w:w="80" w:type="dxa"/>
              <w:left w:w="120" w:type="dxa"/>
              <w:bottom w:w="80" w:type="dxa"/>
              <w:right w:w="120" w:type="dxa"/>
            </w:tcMar>
          </w:tcPr>
          <w:p w14:paraId="738AF344">
            <w:pPr>
              <w:keepNext w:val="0"/>
              <w:keepLines w:val="0"/>
              <w:pageBreakBefore w:val="0"/>
              <w:widowControl/>
              <w:kinsoku/>
              <w:wordWrap/>
              <w:topLinePunct w:val="0"/>
              <w:autoSpaceDE/>
              <w:autoSpaceDN/>
              <w:bidi w:val="0"/>
              <w:adjustRightInd/>
              <w:snapToGrid/>
              <w:spacing w:after="0" w:line="240" w:lineRule="auto"/>
              <w:jc w:val="left"/>
              <w:textAlignment w:val="auto"/>
              <w:rPr>
                <w:rFonts w:hint="eastAsia" w:ascii="宋体" w:hAnsi="宋体" w:eastAsia="宋体" w:cs="宋体"/>
                <w:sz w:val="21"/>
                <w:szCs w:val="21"/>
              </w:rPr>
            </w:pPr>
            <w:r>
              <w:rPr>
                <w:rFonts w:hint="eastAsia" w:ascii="宋体" w:hAnsi="宋体" w:eastAsia="宋体" w:cs="宋体"/>
                <w:b w:val="0"/>
                <w:i w:val="0"/>
                <w:sz w:val="21"/>
                <w:szCs w:val="21"/>
              </w:rPr>
              <w:t>IM、会议、文件、DB、事件日志等并存</w:t>
            </w:r>
          </w:p>
        </w:tc>
        <w:tc>
          <w:tcPr>
            <w:tcW w:w="3120" w:type="dxa"/>
            <w:shd w:val="clear" w:color="auto" w:fill="FFFFFF"/>
            <w:tcMar>
              <w:top w:w="80" w:type="dxa"/>
              <w:left w:w="120" w:type="dxa"/>
              <w:bottom w:w="80" w:type="dxa"/>
              <w:right w:w="120" w:type="dxa"/>
            </w:tcMar>
          </w:tcPr>
          <w:p w14:paraId="5F4B0AAC">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团队公共认知与多源关联</w:t>
            </w:r>
          </w:p>
        </w:tc>
      </w:tr>
      <w:tr w14:paraId="6A589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3" w:type="dxa"/>
            <w:shd w:val="clear" w:color="auto" w:fill="FFFFFF"/>
            <w:tcMar>
              <w:top w:w="80" w:type="dxa"/>
              <w:left w:w="120" w:type="dxa"/>
              <w:bottom w:w="80" w:type="dxa"/>
              <w:right w:w="120" w:type="dxa"/>
            </w:tcMar>
          </w:tcPr>
          <w:p w14:paraId="022FE468">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流程标准化</w:t>
            </w:r>
          </w:p>
        </w:tc>
        <w:tc>
          <w:tcPr>
            <w:tcW w:w="4237" w:type="dxa"/>
            <w:shd w:val="clear" w:color="auto" w:fill="FFFFFF"/>
            <w:tcMar>
              <w:top w:w="80" w:type="dxa"/>
              <w:left w:w="120" w:type="dxa"/>
              <w:bottom w:w="80" w:type="dxa"/>
              <w:right w:w="120" w:type="dxa"/>
            </w:tcMar>
          </w:tcPr>
          <w:p w14:paraId="2D4B29A1">
            <w:pPr>
              <w:keepNext w:val="0"/>
              <w:keepLines w:val="0"/>
              <w:pageBreakBefore w:val="0"/>
              <w:widowControl/>
              <w:kinsoku/>
              <w:wordWrap/>
              <w:topLinePunct w:val="0"/>
              <w:autoSpaceDE/>
              <w:autoSpaceDN/>
              <w:bidi w:val="0"/>
              <w:adjustRightInd/>
              <w:snapToGrid/>
              <w:spacing w:after="0" w:line="240" w:lineRule="auto"/>
              <w:jc w:val="left"/>
              <w:textAlignment w:val="auto"/>
              <w:rPr>
                <w:rFonts w:hint="eastAsia" w:ascii="宋体" w:hAnsi="宋体" w:eastAsia="宋体" w:cs="宋体"/>
                <w:sz w:val="21"/>
                <w:szCs w:val="21"/>
              </w:rPr>
            </w:pPr>
            <w:r>
              <w:rPr>
                <w:rFonts w:hint="eastAsia" w:ascii="宋体" w:hAnsi="宋体" w:eastAsia="宋体" w:cs="宋体"/>
                <w:b w:val="0"/>
                <w:i w:val="0"/>
                <w:sz w:val="21"/>
                <w:szCs w:val="21"/>
              </w:rPr>
              <w:t>SOP、验收标准、合同规则等约束业务执行</w:t>
            </w:r>
          </w:p>
        </w:tc>
        <w:tc>
          <w:tcPr>
            <w:tcW w:w="3120" w:type="dxa"/>
            <w:shd w:val="clear" w:color="auto" w:fill="FFFFFF"/>
            <w:tcMar>
              <w:top w:w="80" w:type="dxa"/>
              <w:left w:w="120" w:type="dxa"/>
              <w:bottom w:w="80" w:type="dxa"/>
              <w:right w:w="120" w:type="dxa"/>
            </w:tcMar>
          </w:tcPr>
          <w:p w14:paraId="4C1A2CCB">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业务能力封装与受控执行</w:t>
            </w:r>
          </w:p>
        </w:tc>
      </w:tr>
      <w:tr w14:paraId="31DF5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3" w:type="dxa"/>
            <w:shd w:val="clear" w:color="auto" w:fill="FFFFFF"/>
            <w:tcMar>
              <w:top w:w="80" w:type="dxa"/>
              <w:left w:w="120" w:type="dxa"/>
              <w:bottom w:w="80" w:type="dxa"/>
              <w:right w:w="120" w:type="dxa"/>
            </w:tcMar>
          </w:tcPr>
          <w:p w14:paraId="1483DA37">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组织权责明确</w:t>
            </w:r>
          </w:p>
        </w:tc>
        <w:tc>
          <w:tcPr>
            <w:tcW w:w="4237" w:type="dxa"/>
            <w:shd w:val="clear" w:color="auto" w:fill="FFFFFF"/>
            <w:tcMar>
              <w:top w:w="80" w:type="dxa"/>
              <w:left w:w="120" w:type="dxa"/>
              <w:bottom w:w="80" w:type="dxa"/>
              <w:right w:w="120" w:type="dxa"/>
            </w:tcMar>
          </w:tcPr>
          <w:p w14:paraId="3F69C4C9">
            <w:pPr>
              <w:keepNext w:val="0"/>
              <w:keepLines w:val="0"/>
              <w:pageBreakBefore w:val="0"/>
              <w:widowControl/>
              <w:kinsoku/>
              <w:wordWrap/>
              <w:topLinePunct w:val="0"/>
              <w:autoSpaceDE/>
              <w:autoSpaceDN/>
              <w:bidi w:val="0"/>
              <w:adjustRightInd/>
              <w:snapToGrid/>
              <w:spacing w:after="0" w:line="240" w:lineRule="auto"/>
              <w:jc w:val="left"/>
              <w:textAlignment w:val="auto"/>
              <w:rPr>
                <w:rFonts w:hint="eastAsia" w:ascii="宋体" w:hAnsi="宋体" w:eastAsia="宋体" w:cs="宋体"/>
                <w:sz w:val="21"/>
                <w:szCs w:val="21"/>
              </w:rPr>
            </w:pPr>
            <w:r>
              <w:rPr>
                <w:rFonts w:hint="eastAsia" w:ascii="宋体" w:hAnsi="宋体" w:eastAsia="宋体" w:cs="宋体"/>
                <w:b w:val="0"/>
                <w:i w:val="0"/>
                <w:sz w:val="21"/>
                <w:szCs w:val="21"/>
              </w:rPr>
              <w:t>不同角色拥有不同资源访问和业务责任</w:t>
            </w:r>
          </w:p>
        </w:tc>
        <w:tc>
          <w:tcPr>
            <w:tcW w:w="3120" w:type="dxa"/>
            <w:shd w:val="clear" w:color="auto" w:fill="FFFFFF"/>
            <w:tcMar>
              <w:top w:w="80" w:type="dxa"/>
              <w:left w:w="120" w:type="dxa"/>
              <w:bottom w:w="80" w:type="dxa"/>
              <w:right w:w="120" w:type="dxa"/>
            </w:tcMar>
          </w:tcPr>
          <w:p w14:paraId="3BE90252">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权限核验与人工责任边界</w:t>
            </w:r>
          </w:p>
        </w:tc>
      </w:tr>
    </w:tbl>
    <w:p w14:paraId="7AFD884A">
      <w:pPr>
        <w:keepNext w:val="0"/>
        <w:keepLines w:val="0"/>
        <w:pageBreakBefore w:val="0"/>
        <w:widowControl/>
        <w:kinsoku/>
        <w:wordWrap/>
        <w:topLinePunct w:val="0"/>
        <w:autoSpaceDE/>
        <w:autoSpaceDN/>
        <w:bidi w:val="0"/>
        <w:adjustRightInd/>
        <w:snapToGrid/>
        <w:spacing w:after="0" w:line="300" w:lineRule="auto"/>
        <w:jc w:val="left"/>
        <w:textAlignment w:val="auto"/>
        <w:rPr>
          <w:rFonts w:hint="eastAsia" w:ascii="宋体" w:hAnsi="宋体" w:eastAsia="宋体" w:cs="宋体"/>
          <w:sz w:val="21"/>
          <w:szCs w:val="21"/>
        </w:rPr>
      </w:pPr>
    </w:p>
    <w:p w14:paraId="0A7940D0">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sz w:val="21"/>
          <w:szCs w:val="21"/>
        </w:rPr>
      </w:pPr>
      <w:r>
        <w:rPr>
          <w:rFonts w:hint="eastAsia" w:ascii="宋体" w:hAnsi="宋体" w:eastAsia="宋体" w:cs="宋体"/>
          <w:b w:val="0"/>
          <w:i w:val="0"/>
          <w:sz w:val="21"/>
          <w:szCs w:val="21"/>
        </w:rPr>
        <w:t>这四类特征说明，地产团队中的Agent并不能简单等同于“带有RAG的聊天机器人”。它不仅需要获取资料，还需要理解项目当前状态、知道哪些规则适用、发现当前能够调用的业务能力，并在权限和责任边界内完成任务。</w:t>
      </w:r>
    </w:p>
    <w:p w14:paraId="37E28619">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1.3 研究问题与研究思路</w:t>
      </w:r>
    </w:p>
    <w:p w14:paraId="0CFD3ED9">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围绕上述需求，本文主要研究三个问题：</w:t>
      </w:r>
    </w:p>
    <w:p w14:paraId="2DD4F873">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RQ1： 如何将地产项目管理中的状态、信息、规则、流程、能力与组织权责转化为Agent可处理的技术对象？</w:t>
      </w:r>
    </w:p>
    <w:p w14:paraId="26835238">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RQ2： 如何将这些技术对象组织为团队级公共认知与受控业务执行框架？</w:t>
      </w:r>
    </w:p>
    <w:p w14:paraId="1CD0C34E">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RQ3： 如何在自然语言交互和灵活能力组合的同时保持流程、权限和人工责任边界？</w:t>
      </w:r>
    </w:p>
    <w:p w14:paraId="6CA1193B">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本文采用“问题识别</w:t>
      </w:r>
      <w:r>
        <w:rPr>
          <w:rFonts w:hint="eastAsia" w:ascii="宋体" w:hAnsi="宋体" w:eastAsia="宋体" w:cs="宋体"/>
          <w:b w:val="0"/>
          <w:i w:val="0"/>
          <w:sz w:val="21"/>
          <w:szCs w:val="21"/>
          <w:lang w:val="en-US" w:eastAsia="zh-CN"/>
        </w:rPr>
        <w:t xml:space="preserve"> </w:t>
      </w:r>
      <w:r>
        <w:rPr>
          <w:rFonts w:hint="eastAsia" w:ascii="宋体" w:hAnsi="宋体" w:eastAsia="宋体" w:cs="宋体"/>
          <w:b w:val="0"/>
          <w:i w:val="0"/>
          <w:sz w:val="21"/>
          <w:szCs w:val="21"/>
        </w:rPr>
        <w:t>—</w:t>
      </w:r>
      <w:r>
        <w:rPr>
          <w:rFonts w:hint="eastAsia" w:ascii="宋体" w:hAnsi="宋体" w:eastAsia="宋体" w:cs="宋体"/>
          <w:b w:val="0"/>
          <w:i w:val="0"/>
          <w:sz w:val="21"/>
          <w:szCs w:val="21"/>
          <w:lang w:val="en-US" w:eastAsia="zh-CN"/>
        </w:rPr>
        <w:t>&gt;</w:t>
      </w:r>
      <w:r>
        <w:rPr>
          <w:rFonts w:hint="eastAsia" w:ascii="宋体" w:hAnsi="宋体" w:eastAsia="宋体" w:cs="宋体"/>
          <w:b w:val="0"/>
          <w:i w:val="0"/>
          <w:sz w:val="21"/>
          <w:szCs w:val="21"/>
        </w:rPr>
        <w:t>管理要素抽象</w:t>
      </w:r>
      <w:r>
        <w:rPr>
          <w:rFonts w:hint="eastAsia" w:ascii="宋体" w:hAnsi="宋体" w:eastAsia="宋体" w:cs="宋体"/>
          <w:b w:val="0"/>
          <w:i w:val="0"/>
          <w:sz w:val="21"/>
          <w:szCs w:val="21"/>
          <w:lang w:val="en-US" w:eastAsia="zh-CN"/>
        </w:rPr>
        <w:t xml:space="preserve"> </w:t>
      </w:r>
      <w:r>
        <w:rPr>
          <w:rFonts w:hint="eastAsia" w:ascii="宋体" w:hAnsi="宋体" w:eastAsia="宋体" w:cs="宋体"/>
          <w:b w:val="0"/>
          <w:i w:val="0"/>
          <w:sz w:val="21"/>
          <w:szCs w:val="21"/>
        </w:rPr>
        <w:t>—</w:t>
      </w:r>
      <w:r>
        <w:rPr>
          <w:rFonts w:hint="eastAsia" w:ascii="宋体" w:hAnsi="宋体" w:eastAsia="宋体" w:cs="宋体"/>
          <w:b w:val="0"/>
          <w:i w:val="0"/>
          <w:sz w:val="21"/>
          <w:szCs w:val="21"/>
          <w:lang w:val="en-US" w:eastAsia="zh-CN"/>
        </w:rPr>
        <w:t>&gt;</w:t>
      </w:r>
      <w:r>
        <w:rPr>
          <w:rFonts w:hint="eastAsia" w:ascii="宋体" w:hAnsi="宋体" w:eastAsia="宋体" w:cs="宋体"/>
          <w:b w:val="0"/>
          <w:i w:val="0"/>
          <w:sz w:val="21"/>
          <w:szCs w:val="21"/>
        </w:rPr>
        <w:t>Agent对象映射</w:t>
      </w:r>
      <w:r>
        <w:rPr>
          <w:rFonts w:hint="eastAsia" w:ascii="宋体" w:hAnsi="宋体" w:eastAsia="宋体" w:cs="宋体"/>
          <w:b w:val="0"/>
          <w:i w:val="0"/>
          <w:sz w:val="21"/>
          <w:szCs w:val="21"/>
          <w:lang w:val="en-US" w:eastAsia="zh-CN"/>
        </w:rPr>
        <w:t xml:space="preserve"> </w:t>
      </w:r>
      <w:r>
        <w:rPr>
          <w:rFonts w:hint="eastAsia" w:ascii="宋体" w:hAnsi="宋体" w:eastAsia="宋体" w:cs="宋体"/>
          <w:b w:val="0"/>
          <w:i w:val="0"/>
          <w:sz w:val="21"/>
          <w:szCs w:val="21"/>
        </w:rPr>
        <w:t>—</w:t>
      </w:r>
      <w:r>
        <w:rPr>
          <w:rFonts w:hint="eastAsia" w:ascii="宋体" w:hAnsi="宋体" w:eastAsia="宋体" w:cs="宋体"/>
          <w:b w:val="0"/>
          <w:i w:val="0"/>
          <w:sz w:val="21"/>
          <w:szCs w:val="21"/>
          <w:lang w:val="en-US" w:eastAsia="zh-CN"/>
        </w:rPr>
        <w:t>&gt;</w:t>
      </w:r>
      <w:r>
        <w:rPr>
          <w:rFonts w:hint="eastAsia" w:ascii="宋体" w:hAnsi="宋体" w:eastAsia="宋体" w:cs="宋体"/>
          <w:b w:val="0"/>
          <w:i w:val="0"/>
          <w:sz w:val="21"/>
          <w:szCs w:val="21"/>
        </w:rPr>
        <w:t>框架设计</w:t>
      </w:r>
      <w:r>
        <w:rPr>
          <w:rFonts w:hint="eastAsia" w:ascii="宋体" w:hAnsi="宋体" w:eastAsia="宋体" w:cs="宋体"/>
          <w:b w:val="0"/>
          <w:i w:val="0"/>
          <w:sz w:val="21"/>
          <w:szCs w:val="21"/>
          <w:lang w:val="en-US" w:eastAsia="zh-CN"/>
        </w:rPr>
        <w:t xml:space="preserve"> </w:t>
      </w:r>
      <w:r>
        <w:rPr>
          <w:rFonts w:hint="eastAsia" w:ascii="宋体" w:hAnsi="宋体" w:eastAsia="宋体" w:cs="宋体"/>
          <w:b w:val="0"/>
          <w:i w:val="0"/>
          <w:sz w:val="21"/>
          <w:szCs w:val="21"/>
        </w:rPr>
        <w:t>—</w:t>
      </w:r>
      <w:r>
        <w:rPr>
          <w:rFonts w:hint="eastAsia" w:ascii="宋体" w:hAnsi="宋体" w:eastAsia="宋体" w:cs="宋体"/>
          <w:b w:val="0"/>
          <w:i w:val="0"/>
          <w:sz w:val="21"/>
          <w:szCs w:val="21"/>
          <w:lang w:val="en-US" w:eastAsia="zh-CN"/>
        </w:rPr>
        <w:t>&gt;</w:t>
      </w:r>
      <w:r>
        <w:rPr>
          <w:rFonts w:hint="eastAsia" w:ascii="宋体" w:hAnsi="宋体" w:eastAsia="宋体" w:cs="宋体"/>
          <w:b w:val="0"/>
          <w:i w:val="0"/>
          <w:sz w:val="21"/>
          <w:szCs w:val="21"/>
        </w:rPr>
        <w:t>工程应用说明”的研究思路。本文第三章解决“如何由地产管理结构推导Agent对象”，第四章回答“如何构建具体框架”，第五章通过工程实例说明框架如何落地。</w:t>
      </w:r>
    </w:p>
    <w:p w14:paraId="2E2DECDB">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1.4 研究贡献</w:t>
      </w:r>
    </w:p>
    <w:p w14:paraId="3C4A3BC0">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本文不以提出新的基础模型或底层算法为目标，而关注通用AI Agent向垂直行业团队应用过程中所需要的领域化工程重构。本文的工作核心是以领域管理结构为驱动的Agent框架构建与工程实现，主要体现在两个方面。</w:t>
      </w:r>
    </w:p>
    <w:p w14:paraId="5CF9EE49">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第一，建立地产管理要素向Agent技术对象的映射方法。将项目状态、过程信息、组织规则、业务流程、系统工具、复合请求以及组织权责等要素，分别映射为状态空间、公共认知对象、能力单元 and 任务单元，使领域管理结构成为Agent框架设计的依据。</w:t>
      </w:r>
    </w:p>
    <w:p w14:paraId="1F645BCD">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第二，在上述映射基础上形成信息协同型AI智能体框架，由三书认知基座、LLM增强FSM、Skill化SOP和三智能体协作机制共同实现“认知—感知—执行—核验”的技术链，并结合实际业务实例说明其工程落地方式。</w:t>
      </w:r>
    </w:p>
    <w:p w14:paraId="0646E1DC">
      <w:pPr>
        <w:keepNext w:val="0"/>
        <w:keepLines w:val="0"/>
        <w:pageBreakBefore w:val="0"/>
        <w:widowControl/>
        <w:kinsoku/>
        <w:wordWrap/>
        <w:overflowPunct/>
        <w:topLinePunct w:val="0"/>
        <w:autoSpaceDE/>
        <w:autoSpaceDN/>
        <w:bidi w:val="0"/>
        <w:adjustRightInd/>
        <w:snapToGrid/>
        <w:spacing w:before="289" w:beforeLines="80" w:after="145" w:afterLines="40" w:line="300" w:lineRule="auto"/>
        <w:jc w:val="left"/>
        <w:textAlignment w:val="auto"/>
        <w:rPr>
          <w:rFonts w:hint="eastAsia" w:ascii="宋体" w:hAnsi="宋体" w:eastAsia="宋体" w:cs="宋体"/>
          <w:sz w:val="21"/>
          <w:szCs w:val="21"/>
        </w:rPr>
      </w:pPr>
      <w:r>
        <w:rPr>
          <w:rFonts w:hint="eastAsia" w:ascii="宋体" w:hAnsi="宋体" w:eastAsia="宋体" w:cs="宋体"/>
          <w:b/>
          <w:i w:val="0"/>
          <w:sz w:val="21"/>
          <w:szCs w:val="21"/>
        </w:rPr>
        <w:t>2 技术基础与问题抽象</w:t>
      </w:r>
    </w:p>
    <w:p w14:paraId="112C8C38">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2.1 AI Agent相关技术基础</w:t>
      </w:r>
    </w:p>
    <w:p w14:paraId="008D2C04">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现有AI Agent工程研究已经形成状态管理、工作流、知识检索、记忆、工具调用和多智能体协作等技术路径。StateFlow将LLM任务建模为状态驱动工作流，MetaGPT展示了SOP与角色分工并支持多Agent协作，RAG主要支持外部知识检索，Agent Memory研究则围绕长期信息的组织与利用展开，工具调用技术则使模型能够学习使用外部工具。这些机制解决了Agent“知道什么、处于什么状态、可以做什么以及如何协作”等问题，但并未直接回答地产项目中的状态、过程信息、规则、SOP和组织权责应如何组织。</w:t>
      </w:r>
    </w:p>
    <w:p w14:paraId="16B2CFF1">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2.2 团队公共认知问题</w:t>
      </w:r>
    </w:p>
    <w:p w14:paraId="71140AF4">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个人Agent的Memory主要服务于当前用户或当前会话，而项目团队需要的是面向多个成员持续积累的公共信息环境，近期研究已开始关注多用户环境下共享与持久记忆的组织方式。组织知识创造理论强调知识源于个体经验的显性化与组织化，而AI的介入正在改变组织知识的获取与转化过程。团队公共认知至少同时包含项目态势、组织规则和系统能力三类内容，三者生命周期不同，不适合全部压缩为一种扁平化记忆。这构成本文提出三书认知基座的直接问题来源。</w:t>
      </w:r>
    </w:p>
    <w:p w14:paraId="279AECD9">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本文将“三书”定义为通用LLM/Agent面向垂直行业项目团队进行能力特化后形成的公共认知基座。与面向单一用户或单次会话的个体记忆不同，团队级Agent Harness（即面向团队运行的Agent公共运行支撑环境）需要持续获得项目运行过程中的公共上下文，并形成可供不同任务和角色共享、按需调用的认知环境。为此，本文以项目过程信息作为团队Agent的热记忆核心，并将与其运行密切相关的组织规则和系统能力进一步纳入统一的认知组织框架，分别形成项目态势书、组织规则书和系统能力书。</w:t>
      </w:r>
    </w:p>
    <w:p w14:paraId="6E2879A2">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其中，项目态势书用于组织项目当前状态、过程事件及相关成果，回答“项目正在发生什么、过去发生过什么”；组织规则书用于组织制度、规范、合同及业务约束，回答“当前应该遵循什么规则”；系统能力书用于描述Agent当前可调用的Skill、工具、数据接口和业务插件，回答“当前系统能够做什么”。三者共同构成团队Agent运行所需的信息交汇与架构地图，使通用LLM能够在项目实时上下文、组织约束和系统能力之间建立持续关联。</w:t>
      </w:r>
    </w:p>
    <w:p w14:paraId="75FB37B7">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因此，“三书”并非对已有知识库进行简单分类，也不是三个独立的物理数据库，而是通用LLM/Agent向行业项目团队公共运行环境特化过程中形成的认知组织模型：以项目热记忆为核心，以组织规则和系统能力为两个关键关联维度，为Agent持续理解项目、选择行为并开展受控协同提供认知基座。</w:t>
      </w:r>
    </w:p>
    <w:p w14:paraId="6B86264E">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2.3 工程信息化实践</w:t>
      </w:r>
    </w:p>
    <w:p w14:paraId="6AF9EE3D">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传统工程信息化系统擅长结构化数据和标准流程，但自然语言沟通、非预设任务和跨来源关联仍大量依赖人员。工程AI实践也多集中于BIM、进度、质量等单点任务。由此形成“个人AI工具—组织数字化系统”的衔接缺口：前者灵活，后者组织化，但两者之间缺少能够持续进入项目日常信息流并结合责任边界运行的Agent层。</w:t>
      </w:r>
    </w:p>
    <w:p w14:paraId="363BC151">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2.4 技术缺口与本文定位</w:t>
      </w:r>
    </w:p>
    <w:p w14:paraId="6C876E29">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sz w:val="21"/>
          <w:szCs w:val="21"/>
        </w:rPr>
      </w:pPr>
      <w:r>
        <w:rPr>
          <w:rFonts w:hint="eastAsia" w:ascii="宋体" w:hAnsi="宋体" w:eastAsia="宋体" w:cs="宋体"/>
          <w:b w:val="0"/>
          <w:i w:val="0"/>
          <w:sz w:val="21"/>
          <w:szCs w:val="21"/>
        </w:rPr>
        <w:t>综合上述基础，可以将现有成熟技术与地产团队需求之间的缺口概括如下。</w:t>
      </w:r>
    </w:p>
    <w:p w14:paraId="461A9270">
      <w:pPr>
        <w:keepNext w:val="0"/>
        <w:keepLines w:val="0"/>
        <w:pageBreakBefore w:val="0"/>
        <w:widowControl/>
        <w:kinsoku/>
        <w:wordWrap/>
        <w:topLinePunct w:val="0"/>
        <w:autoSpaceDE/>
        <w:autoSpaceDN/>
        <w:bidi w:val="0"/>
        <w:adjustRightInd/>
        <w:snapToGrid/>
        <w:spacing w:after="0" w:line="300" w:lineRule="auto"/>
        <w:jc w:val="center"/>
        <w:textAlignment w:val="auto"/>
        <w:rPr>
          <w:rFonts w:hint="eastAsia" w:ascii="宋体" w:hAnsi="宋体" w:eastAsia="宋体" w:cs="宋体"/>
          <w:sz w:val="21"/>
          <w:szCs w:val="21"/>
        </w:rPr>
      </w:pPr>
      <w:r>
        <w:rPr>
          <w:rFonts w:hint="eastAsia" w:ascii="宋体" w:hAnsi="宋体" w:eastAsia="宋体" w:cs="宋体"/>
          <w:b/>
          <w:i w:val="0"/>
          <w:sz w:val="21"/>
          <w:szCs w:val="21"/>
        </w:rPr>
        <w:t>表2 现有技术与地产团队需求之间的主要缺口</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8"/>
        <w:gridCol w:w="1917"/>
        <w:gridCol w:w="3008"/>
        <w:gridCol w:w="2910"/>
      </w:tblGrid>
      <w:tr w14:paraId="67AB4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shd w:val="clear" w:color="auto" w:fill="F2F2F2"/>
            <w:tcMar>
              <w:top w:w="80" w:type="dxa"/>
              <w:left w:w="120" w:type="dxa"/>
              <w:bottom w:w="80" w:type="dxa"/>
              <w:right w:w="120" w:type="dxa"/>
            </w:tcMar>
          </w:tcPr>
          <w:p w14:paraId="586354F0">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i w:val="0"/>
                <w:sz w:val="21"/>
                <w:szCs w:val="21"/>
              </w:rPr>
              <w:t>技术方向</w:t>
            </w:r>
          </w:p>
        </w:tc>
        <w:tc>
          <w:tcPr>
            <w:tcW w:w="1917" w:type="dxa"/>
            <w:shd w:val="clear" w:color="auto" w:fill="F2F2F2"/>
            <w:tcMar>
              <w:top w:w="80" w:type="dxa"/>
              <w:left w:w="120" w:type="dxa"/>
              <w:bottom w:w="80" w:type="dxa"/>
              <w:right w:w="120" w:type="dxa"/>
            </w:tcMar>
          </w:tcPr>
          <w:p w14:paraId="3386177F">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i w:val="0"/>
                <w:sz w:val="21"/>
                <w:szCs w:val="21"/>
              </w:rPr>
              <w:t>已解决问题</w:t>
            </w:r>
          </w:p>
        </w:tc>
        <w:tc>
          <w:tcPr>
            <w:tcW w:w="3008" w:type="dxa"/>
            <w:shd w:val="clear" w:color="auto" w:fill="F2F2F2"/>
            <w:tcMar>
              <w:top w:w="80" w:type="dxa"/>
              <w:left w:w="120" w:type="dxa"/>
              <w:bottom w:w="80" w:type="dxa"/>
              <w:right w:w="120" w:type="dxa"/>
            </w:tcMar>
          </w:tcPr>
          <w:p w14:paraId="4E1E4941">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i w:val="0"/>
                <w:sz w:val="21"/>
                <w:szCs w:val="21"/>
              </w:rPr>
              <w:t>面向地产团队的进一步问题</w:t>
            </w:r>
          </w:p>
        </w:tc>
        <w:tc>
          <w:tcPr>
            <w:tcW w:w="2910" w:type="dxa"/>
            <w:shd w:val="clear" w:color="auto" w:fill="F2F2F2"/>
            <w:tcMar>
              <w:top w:w="80" w:type="dxa"/>
              <w:left w:w="120" w:type="dxa"/>
              <w:bottom w:w="80" w:type="dxa"/>
              <w:right w:w="120" w:type="dxa"/>
            </w:tcMar>
          </w:tcPr>
          <w:p w14:paraId="7492F25D">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i w:val="0"/>
                <w:sz w:val="21"/>
                <w:szCs w:val="21"/>
              </w:rPr>
              <w:t>本文对应机制</w:t>
            </w:r>
          </w:p>
        </w:tc>
      </w:tr>
      <w:tr w14:paraId="39EDD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shd w:val="clear" w:color="auto" w:fill="FFFFFF"/>
            <w:tcMar>
              <w:top w:w="80" w:type="dxa"/>
              <w:left w:w="120" w:type="dxa"/>
              <w:bottom w:w="80" w:type="dxa"/>
              <w:right w:w="120" w:type="dxa"/>
            </w:tcMar>
          </w:tcPr>
          <w:p w14:paraId="2AE50FC3">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RAG</w:t>
            </w:r>
          </w:p>
        </w:tc>
        <w:tc>
          <w:tcPr>
            <w:tcW w:w="1917" w:type="dxa"/>
            <w:shd w:val="clear" w:color="auto" w:fill="FFFFFF"/>
            <w:tcMar>
              <w:top w:w="80" w:type="dxa"/>
              <w:left w:w="120" w:type="dxa"/>
              <w:bottom w:w="80" w:type="dxa"/>
              <w:right w:w="120" w:type="dxa"/>
            </w:tcMar>
          </w:tcPr>
          <w:p w14:paraId="7F57EB93">
            <w:pPr>
              <w:keepNext w:val="0"/>
              <w:keepLines w:val="0"/>
              <w:pageBreakBefore w:val="0"/>
              <w:widowControl/>
              <w:kinsoku/>
              <w:wordWrap/>
              <w:topLinePunct w:val="0"/>
              <w:autoSpaceDE/>
              <w:autoSpaceDN/>
              <w:bidi w:val="0"/>
              <w:adjustRightInd/>
              <w:snapToGrid/>
              <w:spacing w:after="0" w:line="240" w:lineRule="auto"/>
              <w:jc w:val="left"/>
              <w:textAlignment w:val="auto"/>
              <w:rPr>
                <w:rFonts w:hint="eastAsia" w:ascii="宋体" w:hAnsi="宋体" w:eastAsia="宋体" w:cs="宋体"/>
                <w:sz w:val="21"/>
                <w:szCs w:val="21"/>
              </w:rPr>
            </w:pPr>
            <w:r>
              <w:rPr>
                <w:rFonts w:hint="eastAsia" w:ascii="宋体" w:hAnsi="宋体" w:eastAsia="宋体" w:cs="宋体"/>
                <w:b w:val="0"/>
                <w:i w:val="0"/>
                <w:sz w:val="21"/>
                <w:szCs w:val="21"/>
              </w:rPr>
              <w:t>外部知识检索</w:t>
            </w:r>
          </w:p>
        </w:tc>
        <w:tc>
          <w:tcPr>
            <w:tcW w:w="3008" w:type="dxa"/>
            <w:shd w:val="clear" w:color="auto" w:fill="FFFFFF"/>
            <w:tcMar>
              <w:top w:w="80" w:type="dxa"/>
              <w:left w:w="120" w:type="dxa"/>
              <w:bottom w:w="80" w:type="dxa"/>
              <w:right w:w="120" w:type="dxa"/>
            </w:tcMar>
          </w:tcPr>
          <w:p w14:paraId="4703C89B">
            <w:pPr>
              <w:keepNext w:val="0"/>
              <w:keepLines w:val="0"/>
              <w:pageBreakBefore w:val="0"/>
              <w:widowControl/>
              <w:kinsoku/>
              <w:wordWrap/>
              <w:topLinePunct w:val="0"/>
              <w:autoSpaceDE/>
              <w:autoSpaceDN/>
              <w:bidi w:val="0"/>
              <w:adjustRightInd/>
              <w:snapToGrid/>
              <w:spacing w:after="0" w:line="240" w:lineRule="auto"/>
              <w:jc w:val="left"/>
              <w:textAlignment w:val="auto"/>
              <w:rPr>
                <w:rFonts w:hint="eastAsia" w:ascii="宋体" w:hAnsi="宋体" w:eastAsia="宋体" w:cs="宋体"/>
                <w:sz w:val="21"/>
                <w:szCs w:val="21"/>
              </w:rPr>
            </w:pPr>
            <w:r>
              <w:rPr>
                <w:rFonts w:hint="eastAsia" w:ascii="宋体" w:hAnsi="宋体" w:eastAsia="宋体" w:cs="宋体"/>
                <w:b w:val="0"/>
                <w:i w:val="0"/>
                <w:sz w:val="21"/>
                <w:szCs w:val="21"/>
              </w:rPr>
              <w:t>难以独立表达动态项目态势</w:t>
            </w:r>
          </w:p>
        </w:tc>
        <w:tc>
          <w:tcPr>
            <w:tcW w:w="2910" w:type="dxa"/>
            <w:shd w:val="clear" w:color="auto" w:fill="FFFFFF"/>
            <w:tcMar>
              <w:top w:w="80" w:type="dxa"/>
              <w:left w:w="120" w:type="dxa"/>
              <w:bottom w:w="80" w:type="dxa"/>
              <w:right w:w="120" w:type="dxa"/>
            </w:tcMar>
          </w:tcPr>
          <w:p w14:paraId="3EF322C2">
            <w:pPr>
              <w:keepNext w:val="0"/>
              <w:keepLines w:val="0"/>
              <w:pageBreakBefore w:val="0"/>
              <w:widowControl/>
              <w:kinsoku/>
              <w:wordWrap/>
              <w:topLinePunct w:val="0"/>
              <w:autoSpaceDE/>
              <w:autoSpaceDN/>
              <w:bidi w:val="0"/>
              <w:adjustRightInd/>
              <w:snapToGrid/>
              <w:spacing w:after="0" w:line="240" w:lineRule="auto"/>
              <w:jc w:val="center"/>
              <w:textAlignment w:val="auto"/>
              <w:rPr>
                <w:rFonts w:hint="default" w:ascii="宋体" w:hAnsi="宋体" w:eastAsia="宋体" w:cs="宋体"/>
                <w:sz w:val="21"/>
                <w:szCs w:val="21"/>
                <w:lang w:val="en-US" w:eastAsia="zh-CN"/>
              </w:rPr>
            </w:pPr>
            <w:r>
              <w:rPr>
                <w:rFonts w:hint="eastAsia" w:ascii="宋体" w:hAnsi="宋体" w:eastAsia="宋体" w:cs="宋体"/>
                <w:b w:val="0"/>
                <w:i w:val="0"/>
                <w:sz w:val="21"/>
                <w:szCs w:val="21"/>
              </w:rPr>
              <w:t>三书认知组织 + RAG/D</w:t>
            </w:r>
            <w:r>
              <w:rPr>
                <w:rFonts w:hint="eastAsia" w:ascii="宋体" w:hAnsi="宋体" w:eastAsia="宋体" w:cs="宋体"/>
                <w:b w:val="0"/>
                <w:i w:val="0"/>
                <w:sz w:val="21"/>
                <w:szCs w:val="21"/>
                <w:lang w:val="en-US" w:eastAsia="zh-CN"/>
              </w:rPr>
              <w:t>B/MinIO</w:t>
            </w:r>
          </w:p>
        </w:tc>
      </w:tr>
      <w:tr w14:paraId="0CFD0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shd w:val="clear" w:color="auto" w:fill="FFFFFF"/>
            <w:tcMar>
              <w:top w:w="80" w:type="dxa"/>
              <w:left w:w="120" w:type="dxa"/>
              <w:bottom w:w="80" w:type="dxa"/>
              <w:right w:w="120" w:type="dxa"/>
            </w:tcMar>
          </w:tcPr>
          <w:p w14:paraId="5D00517E">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Memory</w:t>
            </w:r>
          </w:p>
        </w:tc>
        <w:tc>
          <w:tcPr>
            <w:tcW w:w="1917" w:type="dxa"/>
            <w:shd w:val="clear" w:color="auto" w:fill="FFFFFF"/>
            <w:tcMar>
              <w:top w:w="80" w:type="dxa"/>
              <w:left w:w="120" w:type="dxa"/>
              <w:bottom w:w="80" w:type="dxa"/>
              <w:right w:w="120" w:type="dxa"/>
            </w:tcMar>
          </w:tcPr>
          <w:p w14:paraId="280730E6">
            <w:pPr>
              <w:keepNext w:val="0"/>
              <w:keepLines w:val="0"/>
              <w:pageBreakBefore w:val="0"/>
              <w:widowControl/>
              <w:kinsoku/>
              <w:wordWrap/>
              <w:topLinePunct w:val="0"/>
              <w:autoSpaceDE/>
              <w:autoSpaceDN/>
              <w:bidi w:val="0"/>
              <w:adjustRightInd/>
              <w:snapToGrid/>
              <w:spacing w:after="0" w:line="240" w:lineRule="auto"/>
              <w:jc w:val="left"/>
              <w:textAlignment w:val="auto"/>
              <w:rPr>
                <w:rFonts w:hint="eastAsia" w:ascii="宋体" w:hAnsi="宋体" w:eastAsia="宋体" w:cs="宋体"/>
                <w:sz w:val="21"/>
                <w:szCs w:val="21"/>
              </w:rPr>
            </w:pPr>
            <w:r>
              <w:rPr>
                <w:rFonts w:hint="eastAsia" w:ascii="宋体" w:hAnsi="宋体" w:eastAsia="宋体" w:cs="宋体"/>
                <w:b w:val="0"/>
                <w:i w:val="0"/>
                <w:sz w:val="21"/>
                <w:szCs w:val="21"/>
              </w:rPr>
              <w:t>长期信息组织</w:t>
            </w:r>
          </w:p>
        </w:tc>
        <w:tc>
          <w:tcPr>
            <w:tcW w:w="3008" w:type="dxa"/>
            <w:shd w:val="clear" w:color="auto" w:fill="FFFFFF"/>
            <w:tcMar>
              <w:top w:w="80" w:type="dxa"/>
              <w:left w:w="120" w:type="dxa"/>
              <w:bottom w:w="80" w:type="dxa"/>
              <w:right w:w="120" w:type="dxa"/>
            </w:tcMar>
          </w:tcPr>
          <w:p w14:paraId="50A6A305">
            <w:pPr>
              <w:keepNext w:val="0"/>
              <w:keepLines w:val="0"/>
              <w:pageBreakBefore w:val="0"/>
              <w:widowControl/>
              <w:kinsoku/>
              <w:wordWrap/>
              <w:topLinePunct w:val="0"/>
              <w:autoSpaceDE/>
              <w:autoSpaceDN/>
              <w:bidi w:val="0"/>
              <w:adjustRightInd/>
              <w:snapToGrid/>
              <w:spacing w:after="0" w:line="240" w:lineRule="auto"/>
              <w:jc w:val="left"/>
              <w:textAlignment w:val="auto"/>
              <w:rPr>
                <w:rFonts w:hint="eastAsia" w:ascii="宋体" w:hAnsi="宋体" w:eastAsia="宋体" w:cs="宋体"/>
                <w:sz w:val="21"/>
                <w:szCs w:val="21"/>
              </w:rPr>
            </w:pPr>
            <w:r>
              <w:rPr>
                <w:rFonts w:hint="eastAsia" w:ascii="宋体" w:hAnsi="宋体" w:eastAsia="宋体" w:cs="宋体"/>
                <w:b w:val="0"/>
                <w:i w:val="0"/>
                <w:sz w:val="21"/>
                <w:szCs w:val="21"/>
              </w:rPr>
              <w:t>缺少团队公共认知结构</w:t>
            </w:r>
          </w:p>
        </w:tc>
        <w:tc>
          <w:tcPr>
            <w:tcW w:w="2910" w:type="dxa"/>
            <w:shd w:val="clear" w:color="auto" w:fill="FFFFFF"/>
            <w:tcMar>
              <w:top w:w="80" w:type="dxa"/>
              <w:left w:w="120" w:type="dxa"/>
              <w:bottom w:w="80" w:type="dxa"/>
              <w:right w:w="120" w:type="dxa"/>
            </w:tcMar>
          </w:tcPr>
          <w:p w14:paraId="40F2E1AB">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三书认知基座</w:t>
            </w:r>
          </w:p>
        </w:tc>
      </w:tr>
      <w:tr w14:paraId="11A8B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shd w:val="clear" w:color="auto" w:fill="FFFFFF"/>
            <w:tcMar>
              <w:top w:w="80" w:type="dxa"/>
              <w:left w:w="120" w:type="dxa"/>
              <w:bottom w:w="80" w:type="dxa"/>
              <w:right w:w="120" w:type="dxa"/>
            </w:tcMar>
          </w:tcPr>
          <w:p w14:paraId="5B0F6804">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FSM/Workflow</w:t>
            </w:r>
          </w:p>
        </w:tc>
        <w:tc>
          <w:tcPr>
            <w:tcW w:w="1917" w:type="dxa"/>
            <w:shd w:val="clear" w:color="auto" w:fill="FFFFFF"/>
            <w:tcMar>
              <w:top w:w="80" w:type="dxa"/>
              <w:left w:w="120" w:type="dxa"/>
              <w:bottom w:w="80" w:type="dxa"/>
              <w:right w:w="120" w:type="dxa"/>
            </w:tcMar>
          </w:tcPr>
          <w:p w14:paraId="186813D7">
            <w:pPr>
              <w:keepNext w:val="0"/>
              <w:keepLines w:val="0"/>
              <w:pageBreakBefore w:val="0"/>
              <w:widowControl/>
              <w:kinsoku/>
              <w:wordWrap/>
              <w:topLinePunct w:val="0"/>
              <w:autoSpaceDE/>
              <w:autoSpaceDN/>
              <w:bidi w:val="0"/>
              <w:adjustRightInd/>
              <w:snapToGrid/>
              <w:spacing w:after="0" w:line="240" w:lineRule="auto"/>
              <w:jc w:val="left"/>
              <w:textAlignment w:val="auto"/>
              <w:rPr>
                <w:rFonts w:hint="eastAsia" w:ascii="宋体" w:hAnsi="宋体" w:eastAsia="宋体" w:cs="宋体"/>
                <w:sz w:val="21"/>
                <w:szCs w:val="21"/>
              </w:rPr>
            </w:pPr>
            <w:r>
              <w:rPr>
                <w:rFonts w:hint="eastAsia" w:ascii="宋体" w:hAnsi="宋体" w:eastAsia="宋体" w:cs="宋体"/>
                <w:b w:val="0"/>
                <w:i w:val="0"/>
                <w:sz w:val="21"/>
                <w:szCs w:val="21"/>
              </w:rPr>
              <w:t>状态与流程管理</w:t>
            </w:r>
          </w:p>
        </w:tc>
        <w:tc>
          <w:tcPr>
            <w:tcW w:w="3008" w:type="dxa"/>
            <w:shd w:val="clear" w:color="auto" w:fill="FFFFFF"/>
            <w:tcMar>
              <w:top w:w="80" w:type="dxa"/>
              <w:left w:w="120" w:type="dxa"/>
              <w:bottom w:w="80" w:type="dxa"/>
              <w:right w:w="120" w:type="dxa"/>
            </w:tcMar>
          </w:tcPr>
          <w:p w14:paraId="04169D3E">
            <w:pPr>
              <w:keepNext w:val="0"/>
              <w:keepLines w:val="0"/>
              <w:pageBreakBefore w:val="0"/>
              <w:widowControl/>
              <w:kinsoku/>
              <w:wordWrap/>
              <w:topLinePunct w:val="0"/>
              <w:autoSpaceDE/>
              <w:autoSpaceDN/>
              <w:bidi w:val="0"/>
              <w:adjustRightInd/>
              <w:snapToGrid/>
              <w:spacing w:after="0" w:line="240" w:lineRule="auto"/>
              <w:jc w:val="left"/>
              <w:textAlignment w:val="auto"/>
              <w:rPr>
                <w:rFonts w:hint="eastAsia" w:ascii="宋体" w:hAnsi="宋体" w:eastAsia="宋体" w:cs="宋体"/>
                <w:sz w:val="21"/>
                <w:szCs w:val="21"/>
              </w:rPr>
            </w:pPr>
            <w:r>
              <w:rPr>
                <w:rFonts w:hint="eastAsia" w:ascii="宋体" w:hAnsi="宋体" w:eastAsia="宋体" w:cs="宋体"/>
                <w:b w:val="0"/>
                <w:i w:val="0"/>
                <w:sz w:val="21"/>
                <w:szCs w:val="21"/>
              </w:rPr>
              <w:t>缺少项目节点与成果约束</w:t>
            </w:r>
          </w:p>
        </w:tc>
        <w:tc>
          <w:tcPr>
            <w:tcW w:w="2910" w:type="dxa"/>
            <w:shd w:val="clear" w:color="auto" w:fill="FFFFFF"/>
            <w:tcMar>
              <w:top w:w="80" w:type="dxa"/>
              <w:left w:w="120" w:type="dxa"/>
              <w:bottom w:w="80" w:type="dxa"/>
              <w:right w:w="120" w:type="dxa"/>
            </w:tcMar>
          </w:tcPr>
          <w:p w14:paraId="489BC5AD">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LLM增强FSM</w:t>
            </w:r>
          </w:p>
        </w:tc>
      </w:tr>
      <w:tr w14:paraId="6B334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shd w:val="clear" w:color="auto" w:fill="FFFFFF"/>
            <w:tcMar>
              <w:top w:w="80" w:type="dxa"/>
              <w:left w:w="120" w:type="dxa"/>
              <w:bottom w:w="80" w:type="dxa"/>
              <w:right w:w="120" w:type="dxa"/>
            </w:tcMar>
          </w:tcPr>
          <w:p w14:paraId="0062BA74">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Skill/Tool</w:t>
            </w:r>
          </w:p>
        </w:tc>
        <w:tc>
          <w:tcPr>
            <w:tcW w:w="1917" w:type="dxa"/>
            <w:shd w:val="clear" w:color="auto" w:fill="FFFFFF"/>
            <w:tcMar>
              <w:top w:w="80" w:type="dxa"/>
              <w:left w:w="120" w:type="dxa"/>
              <w:bottom w:w="80" w:type="dxa"/>
              <w:right w:w="120" w:type="dxa"/>
            </w:tcMar>
          </w:tcPr>
          <w:p w14:paraId="2D88ED6D">
            <w:pPr>
              <w:keepNext w:val="0"/>
              <w:keepLines w:val="0"/>
              <w:pageBreakBefore w:val="0"/>
              <w:widowControl/>
              <w:kinsoku/>
              <w:wordWrap/>
              <w:topLinePunct w:val="0"/>
              <w:autoSpaceDE/>
              <w:autoSpaceDN/>
              <w:bidi w:val="0"/>
              <w:adjustRightInd/>
              <w:snapToGrid/>
              <w:spacing w:after="0" w:line="240" w:lineRule="auto"/>
              <w:jc w:val="left"/>
              <w:textAlignment w:val="auto"/>
              <w:rPr>
                <w:rFonts w:hint="eastAsia" w:ascii="宋体" w:hAnsi="宋体" w:eastAsia="宋体" w:cs="宋体"/>
                <w:sz w:val="21"/>
                <w:szCs w:val="21"/>
              </w:rPr>
            </w:pPr>
            <w:r>
              <w:rPr>
                <w:rFonts w:hint="eastAsia" w:ascii="宋体" w:hAnsi="宋体" w:eastAsia="宋体" w:cs="宋体"/>
                <w:b w:val="0"/>
                <w:i w:val="0"/>
                <w:sz w:val="21"/>
                <w:szCs w:val="21"/>
              </w:rPr>
              <w:t>工具与能力调用</w:t>
            </w:r>
          </w:p>
        </w:tc>
        <w:tc>
          <w:tcPr>
            <w:tcW w:w="3008" w:type="dxa"/>
            <w:shd w:val="clear" w:color="auto" w:fill="FFFFFF"/>
            <w:tcMar>
              <w:top w:w="80" w:type="dxa"/>
              <w:left w:w="120" w:type="dxa"/>
              <w:bottom w:w="80" w:type="dxa"/>
              <w:right w:w="120" w:type="dxa"/>
            </w:tcMar>
          </w:tcPr>
          <w:p w14:paraId="00FDCBD8">
            <w:pPr>
              <w:keepNext w:val="0"/>
              <w:keepLines w:val="0"/>
              <w:pageBreakBefore w:val="0"/>
              <w:widowControl/>
              <w:kinsoku/>
              <w:wordWrap/>
              <w:topLinePunct w:val="0"/>
              <w:autoSpaceDE/>
              <w:autoSpaceDN/>
              <w:bidi w:val="0"/>
              <w:adjustRightInd/>
              <w:snapToGrid/>
              <w:spacing w:after="0" w:line="240" w:lineRule="auto"/>
              <w:jc w:val="left"/>
              <w:textAlignment w:val="auto"/>
              <w:rPr>
                <w:rFonts w:hint="eastAsia" w:ascii="宋体" w:hAnsi="宋体" w:eastAsia="宋体" w:cs="宋体"/>
                <w:sz w:val="21"/>
                <w:szCs w:val="21"/>
              </w:rPr>
            </w:pPr>
            <w:r>
              <w:rPr>
                <w:rFonts w:hint="eastAsia" w:ascii="宋体" w:hAnsi="宋体" w:eastAsia="宋体" w:cs="宋体"/>
                <w:b w:val="0"/>
                <w:i w:val="0"/>
                <w:sz w:val="21"/>
                <w:szCs w:val="21"/>
              </w:rPr>
              <w:t>企业SOP缺少统一Agent接口</w:t>
            </w:r>
          </w:p>
        </w:tc>
        <w:tc>
          <w:tcPr>
            <w:tcW w:w="2910" w:type="dxa"/>
            <w:shd w:val="clear" w:color="auto" w:fill="FFFFFF"/>
            <w:tcMar>
              <w:top w:w="80" w:type="dxa"/>
              <w:left w:w="120" w:type="dxa"/>
              <w:bottom w:w="80" w:type="dxa"/>
              <w:right w:w="120" w:type="dxa"/>
            </w:tcMar>
          </w:tcPr>
          <w:p w14:paraId="207067F5">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Skill化SOP</w:t>
            </w:r>
          </w:p>
        </w:tc>
      </w:tr>
      <w:tr w14:paraId="772A1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shd w:val="clear" w:color="auto" w:fill="FFFFFF"/>
            <w:tcMar>
              <w:top w:w="80" w:type="dxa"/>
              <w:left w:w="120" w:type="dxa"/>
              <w:bottom w:w="80" w:type="dxa"/>
              <w:right w:w="120" w:type="dxa"/>
            </w:tcMar>
          </w:tcPr>
          <w:p w14:paraId="2F6840C6">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Multi-Agent</w:t>
            </w:r>
          </w:p>
        </w:tc>
        <w:tc>
          <w:tcPr>
            <w:tcW w:w="1917" w:type="dxa"/>
            <w:shd w:val="clear" w:color="auto" w:fill="FFFFFF"/>
            <w:tcMar>
              <w:top w:w="80" w:type="dxa"/>
              <w:left w:w="120" w:type="dxa"/>
              <w:bottom w:w="80" w:type="dxa"/>
              <w:right w:w="120" w:type="dxa"/>
            </w:tcMar>
          </w:tcPr>
          <w:p w14:paraId="5F4AC71F">
            <w:pPr>
              <w:keepNext w:val="0"/>
              <w:keepLines w:val="0"/>
              <w:pageBreakBefore w:val="0"/>
              <w:widowControl/>
              <w:kinsoku/>
              <w:wordWrap/>
              <w:topLinePunct w:val="0"/>
              <w:autoSpaceDE/>
              <w:autoSpaceDN/>
              <w:bidi w:val="0"/>
              <w:adjustRightInd/>
              <w:snapToGrid/>
              <w:spacing w:after="0" w:line="240" w:lineRule="auto"/>
              <w:jc w:val="left"/>
              <w:textAlignment w:val="auto"/>
              <w:rPr>
                <w:rFonts w:hint="eastAsia" w:ascii="宋体" w:hAnsi="宋体" w:eastAsia="宋体" w:cs="宋体"/>
                <w:sz w:val="21"/>
                <w:szCs w:val="21"/>
              </w:rPr>
            </w:pPr>
            <w:r>
              <w:rPr>
                <w:rFonts w:hint="eastAsia" w:ascii="宋体" w:hAnsi="宋体" w:eastAsia="宋体" w:cs="宋体"/>
                <w:b w:val="0"/>
                <w:i w:val="0"/>
                <w:sz w:val="21"/>
                <w:szCs w:val="21"/>
              </w:rPr>
              <w:t>任务角色分工</w:t>
            </w:r>
          </w:p>
        </w:tc>
        <w:tc>
          <w:tcPr>
            <w:tcW w:w="3008" w:type="dxa"/>
            <w:shd w:val="clear" w:color="auto" w:fill="FFFFFF"/>
            <w:tcMar>
              <w:top w:w="80" w:type="dxa"/>
              <w:left w:w="120" w:type="dxa"/>
              <w:bottom w:w="80" w:type="dxa"/>
              <w:right w:w="120" w:type="dxa"/>
            </w:tcMar>
          </w:tcPr>
          <w:p w14:paraId="4850902C">
            <w:pPr>
              <w:keepNext w:val="0"/>
              <w:keepLines w:val="0"/>
              <w:pageBreakBefore w:val="0"/>
              <w:widowControl/>
              <w:kinsoku/>
              <w:wordWrap/>
              <w:topLinePunct w:val="0"/>
              <w:autoSpaceDE/>
              <w:autoSpaceDN/>
              <w:bidi w:val="0"/>
              <w:adjustRightInd/>
              <w:snapToGrid/>
              <w:spacing w:after="0" w:line="240" w:lineRule="auto"/>
              <w:jc w:val="left"/>
              <w:textAlignment w:val="auto"/>
              <w:rPr>
                <w:rFonts w:hint="eastAsia" w:ascii="宋体" w:hAnsi="宋体" w:eastAsia="宋体" w:cs="宋体"/>
                <w:sz w:val="21"/>
                <w:szCs w:val="21"/>
              </w:rPr>
            </w:pPr>
            <w:r>
              <w:rPr>
                <w:rFonts w:hint="eastAsia" w:ascii="宋体" w:hAnsi="宋体" w:eastAsia="宋体" w:cs="宋体"/>
                <w:b w:val="0"/>
                <w:i w:val="0"/>
                <w:sz w:val="21"/>
                <w:szCs w:val="21"/>
              </w:rPr>
              <w:t>与组织权责缺少直接映射</w:t>
            </w:r>
          </w:p>
        </w:tc>
        <w:tc>
          <w:tcPr>
            <w:tcW w:w="2910" w:type="dxa"/>
            <w:shd w:val="clear" w:color="auto" w:fill="FFFFFF"/>
            <w:tcMar>
              <w:top w:w="80" w:type="dxa"/>
              <w:left w:w="120" w:type="dxa"/>
              <w:bottom w:w="80" w:type="dxa"/>
              <w:right w:w="120" w:type="dxa"/>
            </w:tcMar>
          </w:tcPr>
          <w:p w14:paraId="4704BB53">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Session/WorkItem/Guardian</w:t>
            </w:r>
          </w:p>
        </w:tc>
      </w:tr>
    </w:tbl>
    <w:p w14:paraId="0D988A10">
      <w:pPr>
        <w:keepNext w:val="0"/>
        <w:keepLines w:val="0"/>
        <w:pageBreakBefore w:val="0"/>
        <w:widowControl/>
        <w:kinsoku/>
        <w:wordWrap/>
        <w:topLinePunct w:val="0"/>
        <w:autoSpaceDE/>
        <w:autoSpaceDN/>
        <w:bidi w:val="0"/>
        <w:adjustRightInd/>
        <w:snapToGrid/>
        <w:spacing w:after="0" w:line="300" w:lineRule="auto"/>
        <w:jc w:val="left"/>
        <w:textAlignment w:val="auto"/>
        <w:rPr>
          <w:rFonts w:hint="eastAsia" w:ascii="宋体" w:hAnsi="宋体" w:eastAsia="宋体" w:cs="宋体"/>
          <w:sz w:val="21"/>
          <w:szCs w:val="21"/>
        </w:rPr>
      </w:pPr>
    </w:p>
    <w:p w14:paraId="52A2F0F7">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sz w:val="21"/>
          <w:szCs w:val="21"/>
        </w:rPr>
      </w:pPr>
      <w:r>
        <w:rPr>
          <w:rFonts w:hint="eastAsia" w:ascii="宋体" w:hAnsi="宋体" w:eastAsia="宋体" w:cs="宋体"/>
          <w:b w:val="0"/>
          <w:i w:val="0"/>
          <w:sz w:val="21"/>
          <w:szCs w:val="21"/>
        </w:rPr>
        <w:t>因此，本文不试图重新发明RAG、FSM、Tool Calling或Multi-Agent等基础技术，而是研究这些成熟机制如何按照地产项目管理结构重新组织，形成面向团队信息协同的领域化Agent框架。</w:t>
      </w:r>
    </w:p>
    <w:p w14:paraId="4915E535">
      <w:pPr>
        <w:keepNext w:val="0"/>
        <w:keepLines w:val="0"/>
        <w:pageBreakBefore w:val="0"/>
        <w:widowControl/>
        <w:kinsoku/>
        <w:wordWrap/>
        <w:overflowPunct/>
        <w:topLinePunct w:val="0"/>
        <w:autoSpaceDE/>
        <w:autoSpaceDN/>
        <w:bidi w:val="0"/>
        <w:adjustRightInd/>
        <w:snapToGrid/>
        <w:spacing w:before="289" w:beforeLines="80" w:after="145" w:afterLines="40" w:line="300" w:lineRule="auto"/>
        <w:jc w:val="left"/>
        <w:textAlignment w:val="auto"/>
        <w:rPr>
          <w:rFonts w:hint="eastAsia" w:ascii="宋体" w:hAnsi="宋体" w:eastAsia="宋体" w:cs="宋体"/>
          <w:sz w:val="21"/>
          <w:szCs w:val="21"/>
        </w:rPr>
      </w:pPr>
      <w:r>
        <w:rPr>
          <w:rFonts w:hint="eastAsia" w:ascii="宋体" w:hAnsi="宋体" w:eastAsia="宋体" w:cs="宋体"/>
          <w:b/>
          <w:i w:val="0"/>
          <w:sz w:val="21"/>
          <w:szCs w:val="21"/>
        </w:rPr>
        <w:t>3 地产管理要素的Agent化框架建模</w:t>
      </w:r>
    </w:p>
    <w:p w14:paraId="72EFBCF1">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3.1 地产项目管理的信息要素</w:t>
      </w:r>
    </w:p>
    <w:p w14:paraId="76B74177">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sz w:val="21"/>
          <w:szCs w:val="21"/>
        </w:rPr>
      </w:pPr>
      <w:r>
        <w:rPr>
          <w:rFonts w:hint="eastAsia" w:ascii="宋体" w:hAnsi="宋体" w:eastAsia="宋体" w:cs="宋体"/>
          <w:b w:val="0"/>
          <w:i w:val="0"/>
          <w:sz w:val="21"/>
          <w:szCs w:val="21"/>
        </w:rPr>
        <w:t>本文将地产项目管理中的主要信息对象抽象为七类：项目状态、过程事件、项目资料、组织规则、业务流程、人员关系和系</w:t>
      </w:r>
      <w:r>
        <w:rPr>
          <w:rFonts w:hint="eastAsia" w:ascii="宋体" w:hAnsi="宋体" w:eastAsia="宋体" w:cs="宋体"/>
          <w:b w:val="0"/>
          <w:bCs/>
          <w:i w:val="0"/>
          <w:sz w:val="21"/>
          <w:szCs w:val="21"/>
        </w:rPr>
        <w:t>统能力。它们既</w:t>
      </w:r>
      <w:r>
        <w:rPr>
          <w:rFonts w:hint="eastAsia" w:ascii="宋体" w:hAnsi="宋体" w:eastAsia="宋体" w:cs="宋体"/>
          <w:b w:val="0"/>
          <w:i w:val="0"/>
          <w:sz w:val="21"/>
          <w:szCs w:val="21"/>
        </w:rPr>
        <w:t>相互关联，又具有不同的数据形态和生命周期。例如状态强调时间与转移，规则强调约束，流程强调步骤与结果，能力则描述系统“能做什么”。因此，本文采用面向管理对象的分层映射，而非单一知识库。</w:t>
      </w:r>
    </w:p>
    <w:p w14:paraId="1F7F928F">
      <w:pPr>
        <w:keepNext w:val="0"/>
        <w:keepLines w:val="0"/>
        <w:pageBreakBefore w:val="0"/>
        <w:widowControl/>
        <w:kinsoku/>
        <w:wordWrap/>
        <w:topLinePunct w:val="0"/>
        <w:autoSpaceDE/>
        <w:autoSpaceDN/>
        <w:bidi w:val="0"/>
        <w:adjustRightInd/>
        <w:snapToGrid/>
        <w:spacing w:after="0" w:line="300" w:lineRule="auto"/>
        <w:jc w:val="left"/>
        <w:textAlignment w:val="auto"/>
        <w:rPr>
          <w:rFonts w:hint="eastAsia" w:ascii="宋体" w:hAnsi="宋体" w:eastAsia="宋体" w:cs="宋体"/>
          <w:sz w:val="21"/>
          <w:szCs w:val="21"/>
        </w:rPr>
      </w:pPr>
      <w:r>
        <w:rPr>
          <w:rFonts w:hint="eastAsia" w:ascii="宋体" w:hAnsi="宋体" w:eastAsia="宋体" w:cs="宋体"/>
          <w:b/>
          <w:i w:val="0"/>
          <w:sz w:val="21"/>
          <w:szCs w:val="21"/>
        </w:rPr>
        <w:t>3.2 管理要素与Agent技术对象映射</w:t>
      </w:r>
    </w:p>
    <w:p w14:paraId="3982C43E">
      <w:pPr>
        <w:keepNext w:val="0"/>
        <w:keepLines w:val="0"/>
        <w:pageBreakBefore w:val="0"/>
        <w:widowControl/>
        <w:kinsoku/>
        <w:wordWrap/>
        <w:topLinePunct w:val="0"/>
        <w:autoSpaceDE/>
        <w:autoSpaceDN/>
        <w:bidi w:val="0"/>
        <w:adjustRightInd/>
        <w:snapToGrid/>
        <w:spacing w:after="0" w:line="300" w:lineRule="auto"/>
        <w:jc w:val="center"/>
        <w:textAlignment w:val="auto"/>
        <w:rPr>
          <w:rFonts w:hint="eastAsia" w:ascii="宋体" w:hAnsi="宋体" w:eastAsia="宋体" w:cs="宋体"/>
          <w:sz w:val="21"/>
          <w:szCs w:val="21"/>
        </w:rPr>
      </w:pPr>
      <w:r>
        <w:rPr>
          <w:rFonts w:hint="eastAsia" w:ascii="宋体" w:hAnsi="宋体" w:eastAsia="宋体" w:cs="宋体"/>
          <w:b/>
          <w:i w:val="0"/>
          <w:sz w:val="21"/>
          <w:szCs w:val="21"/>
        </w:rPr>
        <w:t>表3 地产管理要素与Agent技术对象映射</w:t>
      </w:r>
    </w:p>
    <w:tbl>
      <w:tblPr>
        <w:tblStyle w:val="33"/>
        <w:tblW w:w="965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048"/>
        <w:gridCol w:w="2040"/>
        <w:gridCol w:w="3225"/>
      </w:tblGrid>
      <w:tr w14:paraId="75D10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shd w:val="clear" w:color="auto" w:fill="F2F2F2"/>
            <w:tcMar>
              <w:top w:w="80" w:type="dxa"/>
              <w:left w:w="120" w:type="dxa"/>
              <w:bottom w:w="80" w:type="dxa"/>
              <w:right w:w="120" w:type="dxa"/>
            </w:tcMar>
          </w:tcPr>
          <w:p w14:paraId="6F5447B9">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i w:val="0"/>
                <w:sz w:val="21"/>
                <w:szCs w:val="21"/>
              </w:rPr>
              <w:t>地产管理要素</w:t>
            </w:r>
          </w:p>
        </w:tc>
        <w:tc>
          <w:tcPr>
            <w:tcW w:w="2048" w:type="dxa"/>
            <w:shd w:val="clear" w:color="auto" w:fill="F2F2F2"/>
            <w:tcMar>
              <w:top w:w="80" w:type="dxa"/>
              <w:left w:w="120" w:type="dxa"/>
              <w:bottom w:w="80" w:type="dxa"/>
              <w:right w:w="120" w:type="dxa"/>
            </w:tcMar>
          </w:tcPr>
          <w:p w14:paraId="086D8D85">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i w:val="0"/>
                <w:sz w:val="21"/>
                <w:szCs w:val="21"/>
              </w:rPr>
              <w:t>Agent技术对象</w:t>
            </w:r>
          </w:p>
        </w:tc>
        <w:tc>
          <w:tcPr>
            <w:tcW w:w="2040" w:type="dxa"/>
            <w:shd w:val="clear" w:color="auto" w:fill="F2F2F2"/>
            <w:tcMar>
              <w:top w:w="80" w:type="dxa"/>
              <w:left w:w="120" w:type="dxa"/>
              <w:bottom w:w="80" w:type="dxa"/>
              <w:right w:w="120" w:type="dxa"/>
            </w:tcMar>
          </w:tcPr>
          <w:p w14:paraId="6760AC44">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i w:val="0"/>
                <w:sz w:val="21"/>
                <w:szCs w:val="21"/>
              </w:rPr>
              <w:t>核心技术机制</w:t>
            </w:r>
          </w:p>
        </w:tc>
        <w:tc>
          <w:tcPr>
            <w:tcW w:w="3225" w:type="dxa"/>
            <w:shd w:val="clear" w:color="auto" w:fill="F2F2F2"/>
            <w:tcMar>
              <w:top w:w="80" w:type="dxa"/>
              <w:left w:w="120" w:type="dxa"/>
              <w:bottom w:w="80" w:type="dxa"/>
              <w:right w:w="120" w:type="dxa"/>
            </w:tcMar>
          </w:tcPr>
          <w:p w14:paraId="22D9E48A">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i w:val="0"/>
                <w:sz w:val="21"/>
                <w:szCs w:val="21"/>
              </w:rPr>
              <w:t>主要作用</w:t>
            </w:r>
          </w:p>
        </w:tc>
      </w:tr>
      <w:tr w14:paraId="3CE73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shd w:val="clear" w:color="auto" w:fill="FFFFFF"/>
            <w:tcMar>
              <w:top w:w="80" w:type="dxa"/>
              <w:left w:w="120" w:type="dxa"/>
              <w:bottom w:w="80" w:type="dxa"/>
              <w:right w:w="120" w:type="dxa"/>
            </w:tcMar>
          </w:tcPr>
          <w:p w14:paraId="13DF9850">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项目状态/节点</w:t>
            </w:r>
          </w:p>
        </w:tc>
        <w:tc>
          <w:tcPr>
            <w:tcW w:w="2048" w:type="dxa"/>
            <w:shd w:val="clear" w:color="auto" w:fill="FFFFFF"/>
            <w:tcMar>
              <w:top w:w="80" w:type="dxa"/>
              <w:left w:w="120" w:type="dxa"/>
              <w:bottom w:w="80" w:type="dxa"/>
              <w:right w:w="120" w:type="dxa"/>
            </w:tcMar>
          </w:tcPr>
          <w:p w14:paraId="4B5B3382">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状态空间</w:t>
            </w:r>
          </w:p>
        </w:tc>
        <w:tc>
          <w:tcPr>
            <w:tcW w:w="2040" w:type="dxa"/>
            <w:shd w:val="clear" w:color="auto" w:fill="FFFFFF"/>
            <w:tcMar>
              <w:top w:w="80" w:type="dxa"/>
              <w:left w:w="120" w:type="dxa"/>
              <w:bottom w:w="80" w:type="dxa"/>
              <w:right w:w="120" w:type="dxa"/>
            </w:tcMar>
          </w:tcPr>
          <w:p w14:paraId="250D85FC">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LLM增强FSM</w:t>
            </w:r>
          </w:p>
        </w:tc>
        <w:tc>
          <w:tcPr>
            <w:tcW w:w="3225" w:type="dxa"/>
            <w:shd w:val="clear" w:color="auto" w:fill="FFFFFF"/>
            <w:tcMar>
              <w:top w:w="80" w:type="dxa"/>
              <w:left w:w="120" w:type="dxa"/>
              <w:bottom w:w="80" w:type="dxa"/>
              <w:right w:w="120" w:type="dxa"/>
            </w:tcMar>
          </w:tcPr>
          <w:p w14:paraId="540D4D6F">
            <w:pPr>
              <w:keepNext w:val="0"/>
              <w:keepLines w:val="0"/>
              <w:pageBreakBefore w:val="0"/>
              <w:widowControl/>
              <w:kinsoku/>
              <w:wordWrap/>
              <w:topLinePunct w:val="0"/>
              <w:autoSpaceDE/>
              <w:autoSpaceDN/>
              <w:bidi w:val="0"/>
              <w:adjustRightInd/>
              <w:snapToGrid/>
              <w:spacing w:after="0" w:line="240" w:lineRule="auto"/>
              <w:jc w:val="left"/>
              <w:textAlignment w:val="auto"/>
              <w:rPr>
                <w:rFonts w:hint="eastAsia" w:ascii="宋体" w:hAnsi="宋体" w:eastAsia="宋体" w:cs="宋体"/>
                <w:sz w:val="21"/>
                <w:szCs w:val="21"/>
              </w:rPr>
            </w:pPr>
            <w:r>
              <w:rPr>
                <w:rFonts w:hint="eastAsia" w:ascii="宋体" w:hAnsi="宋体" w:eastAsia="宋体" w:cs="宋体"/>
                <w:b w:val="0"/>
                <w:i w:val="0"/>
                <w:sz w:val="21"/>
                <w:szCs w:val="21"/>
              </w:rPr>
              <w:t>动态状态感知与受控转移</w:t>
            </w:r>
          </w:p>
        </w:tc>
      </w:tr>
      <w:tr w14:paraId="66FE4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shd w:val="clear" w:color="auto" w:fill="FFFFFF"/>
            <w:tcMar>
              <w:top w:w="80" w:type="dxa"/>
              <w:left w:w="120" w:type="dxa"/>
              <w:bottom w:w="80" w:type="dxa"/>
              <w:right w:w="120" w:type="dxa"/>
            </w:tcMar>
          </w:tcPr>
          <w:p w14:paraId="37B056C4">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过程事件/项目资料</w:t>
            </w:r>
          </w:p>
        </w:tc>
        <w:tc>
          <w:tcPr>
            <w:tcW w:w="2048" w:type="dxa"/>
            <w:shd w:val="clear" w:color="auto" w:fill="FFFFFF"/>
            <w:tcMar>
              <w:top w:w="80" w:type="dxa"/>
              <w:left w:w="120" w:type="dxa"/>
              <w:bottom w:w="80" w:type="dxa"/>
              <w:right w:w="120" w:type="dxa"/>
            </w:tcMar>
          </w:tcPr>
          <w:p w14:paraId="1CBBF734">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公共认知对象</w:t>
            </w:r>
          </w:p>
        </w:tc>
        <w:tc>
          <w:tcPr>
            <w:tcW w:w="2040" w:type="dxa"/>
            <w:shd w:val="clear" w:color="auto" w:fill="FFFFFF"/>
            <w:tcMar>
              <w:top w:w="80" w:type="dxa"/>
              <w:left w:w="120" w:type="dxa"/>
              <w:bottom w:w="80" w:type="dxa"/>
              <w:right w:w="120" w:type="dxa"/>
            </w:tcMar>
          </w:tcPr>
          <w:p w14:paraId="291DD1D8">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项目态势书</w:t>
            </w:r>
          </w:p>
        </w:tc>
        <w:tc>
          <w:tcPr>
            <w:tcW w:w="3225" w:type="dxa"/>
            <w:shd w:val="clear" w:color="auto" w:fill="FFFFFF"/>
            <w:tcMar>
              <w:top w:w="80" w:type="dxa"/>
              <w:left w:w="120" w:type="dxa"/>
              <w:bottom w:w="80" w:type="dxa"/>
              <w:right w:w="120" w:type="dxa"/>
            </w:tcMar>
          </w:tcPr>
          <w:p w14:paraId="2B1AFC50">
            <w:pPr>
              <w:keepNext w:val="0"/>
              <w:keepLines w:val="0"/>
              <w:pageBreakBefore w:val="0"/>
              <w:widowControl/>
              <w:kinsoku/>
              <w:wordWrap/>
              <w:topLinePunct w:val="0"/>
              <w:autoSpaceDE/>
              <w:autoSpaceDN/>
              <w:bidi w:val="0"/>
              <w:adjustRightInd/>
              <w:snapToGrid/>
              <w:spacing w:after="0" w:line="240" w:lineRule="auto"/>
              <w:jc w:val="left"/>
              <w:textAlignment w:val="auto"/>
              <w:rPr>
                <w:rFonts w:hint="eastAsia" w:ascii="宋体" w:hAnsi="宋体" w:eastAsia="宋体" w:cs="宋体"/>
                <w:sz w:val="21"/>
                <w:szCs w:val="21"/>
              </w:rPr>
            </w:pPr>
            <w:r>
              <w:rPr>
                <w:rFonts w:hint="eastAsia" w:ascii="宋体" w:hAnsi="宋体" w:eastAsia="宋体" w:cs="宋体"/>
                <w:b w:val="0"/>
                <w:i w:val="0"/>
                <w:sz w:val="21"/>
                <w:szCs w:val="21"/>
              </w:rPr>
              <w:t>信息持续沉淀、关联与回放</w:t>
            </w:r>
          </w:p>
        </w:tc>
      </w:tr>
      <w:tr w14:paraId="38F81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shd w:val="clear" w:color="auto" w:fill="FFFFFF"/>
            <w:tcMar>
              <w:top w:w="80" w:type="dxa"/>
              <w:left w:w="120" w:type="dxa"/>
              <w:bottom w:w="80" w:type="dxa"/>
              <w:right w:w="120" w:type="dxa"/>
            </w:tcMar>
          </w:tcPr>
          <w:p w14:paraId="5918E051">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组织制度/规则</w:t>
            </w:r>
          </w:p>
        </w:tc>
        <w:tc>
          <w:tcPr>
            <w:tcW w:w="2048" w:type="dxa"/>
            <w:shd w:val="clear" w:color="auto" w:fill="FFFFFF"/>
            <w:tcMar>
              <w:top w:w="80" w:type="dxa"/>
              <w:left w:w="120" w:type="dxa"/>
              <w:bottom w:w="80" w:type="dxa"/>
              <w:right w:w="120" w:type="dxa"/>
            </w:tcMar>
          </w:tcPr>
          <w:p w14:paraId="543013C0">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约束知识</w:t>
            </w:r>
          </w:p>
        </w:tc>
        <w:tc>
          <w:tcPr>
            <w:tcW w:w="2040" w:type="dxa"/>
            <w:shd w:val="clear" w:color="auto" w:fill="FFFFFF"/>
            <w:tcMar>
              <w:top w:w="80" w:type="dxa"/>
              <w:left w:w="120" w:type="dxa"/>
              <w:bottom w:w="80" w:type="dxa"/>
              <w:right w:w="120" w:type="dxa"/>
            </w:tcMar>
          </w:tcPr>
          <w:p w14:paraId="56C91710">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组织规则书</w:t>
            </w:r>
          </w:p>
        </w:tc>
        <w:tc>
          <w:tcPr>
            <w:tcW w:w="3225" w:type="dxa"/>
            <w:shd w:val="clear" w:color="auto" w:fill="FFFFFF"/>
            <w:tcMar>
              <w:top w:w="80" w:type="dxa"/>
              <w:left w:w="120" w:type="dxa"/>
              <w:bottom w:w="80" w:type="dxa"/>
              <w:right w:w="120" w:type="dxa"/>
            </w:tcMar>
          </w:tcPr>
          <w:p w14:paraId="7ED3183E">
            <w:pPr>
              <w:keepNext w:val="0"/>
              <w:keepLines w:val="0"/>
              <w:pageBreakBefore w:val="0"/>
              <w:widowControl/>
              <w:kinsoku/>
              <w:wordWrap/>
              <w:topLinePunct w:val="0"/>
              <w:autoSpaceDE/>
              <w:autoSpaceDN/>
              <w:bidi w:val="0"/>
              <w:adjustRightInd/>
              <w:snapToGrid/>
              <w:spacing w:after="0" w:line="240" w:lineRule="auto"/>
              <w:jc w:val="left"/>
              <w:textAlignment w:val="auto"/>
              <w:rPr>
                <w:rFonts w:hint="eastAsia" w:ascii="宋体" w:hAnsi="宋体" w:eastAsia="宋体" w:cs="宋体"/>
                <w:sz w:val="21"/>
                <w:szCs w:val="21"/>
              </w:rPr>
            </w:pPr>
            <w:r>
              <w:rPr>
                <w:rFonts w:hint="eastAsia" w:ascii="宋体" w:hAnsi="宋体" w:eastAsia="宋体" w:cs="宋体"/>
                <w:b w:val="0"/>
                <w:i w:val="0"/>
                <w:sz w:val="21"/>
                <w:szCs w:val="21"/>
              </w:rPr>
              <w:t>提供适用规则与执行边界</w:t>
            </w:r>
          </w:p>
        </w:tc>
      </w:tr>
      <w:tr w14:paraId="6FCC1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shd w:val="clear" w:color="auto" w:fill="FFFFFF"/>
            <w:tcMar>
              <w:top w:w="80" w:type="dxa"/>
              <w:left w:w="120" w:type="dxa"/>
              <w:bottom w:w="80" w:type="dxa"/>
              <w:right w:w="120" w:type="dxa"/>
            </w:tcMar>
          </w:tcPr>
          <w:p w14:paraId="1732D09B">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业务流程/SOP</w:t>
            </w:r>
          </w:p>
        </w:tc>
        <w:tc>
          <w:tcPr>
            <w:tcW w:w="2048" w:type="dxa"/>
            <w:shd w:val="clear" w:color="auto" w:fill="FFFFFF"/>
            <w:tcMar>
              <w:top w:w="80" w:type="dxa"/>
              <w:left w:w="120" w:type="dxa"/>
              <w:bottom w:w="80" w:type="dxa"/>
              <w:right w:w="120" w:type="dxa"/>
            </w:tcMar>
          </w:tcPr>
          <w:p w14:paraId="155A3D52">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能力单元</w:t>
            </w:r>
          </w:p>
        </w:tc>
        <w:tc>
          <w:tcPr>
            <w:tcW w:w="2040" w:type="dxa"/>
            <w:shd w:val="clear" w:color="auto" w:fill="FFFFFF"/>
            <w:tcMar>
              <w:top w:w="80" w:type="dxa"/>
              <w:left w:w="120" w:type="dxa"/>
              <w:bottom w:w="80" w:type="dxa"/>
              <w:right w:w="120" w:type="dxa"/>
            </w:tcMar>
          </w:tcPr>
          <w:p w14:paraId="3C0DF623">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Skill化SOP</w:t>
            </w:r>
          </w:p>
        </w:tc>
        <w:tc>
          <w:tcPr>
            <w:tcW w:w="3225" w:type="dxa"/>
            <w:shd w:val="clear" w:color="auto" w:fill="FFFFFF"/>
            <w:tcMar>
              <w:top w:w="80" w:type="dxa"/>
              <w:left w:w="120" w:type="dxa"/>
              <w:bottom w:w="80" w:type="dxa"/>
              <w:right w:w="120" w:type="dxa"/>
            </w:tcMar>
          </w:tcPr>
          <w:p w14:paraId="13432957">
            <w:pPr>
              <w:keepNext w:val="0"/>
              <w:keepLines w:val="0"/>
              <w:pageBreakBefore w:val="0"/>
              <w:widowControl/>
              <w:kinsoku/>
              <w:wordWrap/>
              <w:topLinePunct w:val="0"/>
              <w:autoSpaceDE/>
              <w:autoSpaceDN/>
              <w:bidi w:val="0"/>
              <w:adjustRightInd/>
              <w:snapToGrid/>
              <w:spacing w:after="0" w:line="240" w:lineRule="auto"/>
              <w:jc w:val="left"/>
              <w:textAlignment w:val="auto"/>
              <w:rPr>
                <w:rFonts w:hint="eastAsia" w:ascii="宋体" w:hAnsi="宋体" w:eastAsia="宋体" w:cs="宋体"/>
                <w:sz w:val="21"/>
                <w:szCs w:val="21"/>
              </w:rPr>
            </w:pPr>
            <w:r>
              <w:rPr>
                <w:rFonts w:hint="eastAsia" w:ascii="宋体" w:hAnsi="宋体" w:eastAsia="宋体" w:cs="宋体"/>
                <w:b w:val="0"/>
                <w:i w:val="0"/>
                <w:sz w:val="21"/>
                <w:szCs w:val="21"/>
              </w:rPr>
              <w:t>能力发现、参数化和受控执行</w:t>
            </w:r>
          </w:p>
        </w:tc>
      </w:tr>
      <w:tr w14:paraId="64C9B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shd w:val="clear" w:color="auto" w:fill="FFFFFF"/>
            <w:tcMar>
              <w:top w:w="80" w:type="dxa"/>
              <w:left w:w="120" w:type="dxa"/>
              <w:bottom w:w="80" w:type="dxa"/>
              <w:right w:w="120" w:type="dxa"/>
            </w:tcMar>
          </w:tcPr>
          <w:p w14:paraId="3BC2DDD5">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系统工具/接口</w:t>
            </w:r>
          </w:p>
        </w:tc>
        <w:tc>
          <w:tcPr>
            <w:tcW w:w="2048" w:type="dxa"/>
            <w:shd w:val="clear" w:color="auto" w:fill="FFFFFF"/>
            <w:tcMar>
              <w:top w:w="80" w:type="dxa"/>
              <w:left w:w="120" w:type="dxa"/>
              <w:bottom w:w="80" w:type="dxa"/>
              <w:right w:w="120" w:type="dxa"/>
            </w:tcMar>
          </w:tcPr>
          <w:p w14:paraId="49BACD8B">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能力对象</w:t>
            </w:r>
          </w:p>
        </w:tc>
        <w:tc>
          <w:tcPr>
            <w:tcW w:w="2040" w:type="dxa"/>
            <w:shd w:val="clear" w:color="auto" w:fill="FFFFFF"/>
            <w:tcMar>
              <w:top w:w="80" w:type="dxa"/>
              <w:left w:w="120" w:type="dxa"/>
              <w:bottom w:w="80" w:type="dxa"/>
              <w:right w:w="120" w:type="dxa"/>
            </w:tcMar>
          </w:tcPr>
          <w:p w14:paraId="3C4DF4BD">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系统能力书</w:t>
            </w:r>
          </w:p>
        </w:tc>
        <w:tc>
          <w:tcPr>
            <w:tcW w:w="3225" w:type="dxa"/>
            <w:shd w:val="clear" w:color="auto" w:fill="FFFFFF"/>
            <w:tcMar>
              <w:top w:w="80" w:type="dxa"/>
              <w:left w:w="120" w:type="dxa"/>
              <w:bottom w:w="80" w:type="dxa"/>
              <w:right w:w="120" w:type="dxa"/>
            </w:tcMar>
          </w:tcPr>
          <w:p w14:paraId="28065EF7">
            <w:pPr>
              <w:keepNext w:val="0"/>
              <w:keepLines w:val="0"/>
              <w:pageBreakBefore w:val="0"/>
              <w:widowControl/>
              <w:kinsoku/>
              <w:wordWrap/>
              <w:topLinePunct w:val="0"/>
              <w:autoSpaceDE/>
              <w:autoSpaceDN/>
              <w:bidi w:val="0"/>
              <w:adjustRightInd/>
              <w:snapToGrid/>
              <w:spacing w:after="0" w:line="240" w:lineRule="auto"/>
              <w:jc w:val="left"/>
              <w:textAlignment w:val="auto"/>
              <w:rPr>
                <w:rFonts w:hint="eastAsia" w:ascii="宋体" w:hAnsi="宋体" w:eastAsia="宋体" w:cs="宋体"/>
                <w:sz w:val="21"/>
                <w:szCs w:val="21"/>
              </w:rPr>
            </w:pPr>
            <w:r>
              <w:rPr>
                <w:rFonts w:hint="eastAsia" w:ascii="宋体" w:hAnsi="宋体" w:eastAsia="宋体" w:cs="宋体"/>
                <w:b w:val="0"/>
                <w:i w:val="0"/>
                <w:sz w:val="21"/>
                <w:szCs w:val="21"/>
              </w:rPr>
              <w:t>工具与业务能力发现</w:t>
            </w:r>
          </w:p>
        </w:tc>
      </w:tr>
      <w:tr w14:paraId="01619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shd w:val="clear" w:color="auto" w:fill="FFFFFF"/>
            <w:tcMar>
              <w:top w:w="80" w:type="dxa"/>
              <w:left w:w="120" w:type="dxa"/>
              <w:bottom w:w="80" w:type="dxa"/>
              <w:right w:w="120" w:type="dxa"/>
            </w:tcMar>
          </w:tcPr>
          <w:p w14:paraId="3E6883C9">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用户复合请求</w:t>
            </w:r>
          </w:p>
        </w:tc>
        <w:tc>
          <w:tcPr>
            <w:tcW w:w="2048" w:type="dxa"/>
            <w:shd w:val="clear" w:color="auto" w:fill="FFFFFF"/>
            <w:tcMar>
              <w:top w:w="80" w:type="dxa"/>
              <w:left w:w="120" w:type="dxa"/>
              <w:bottom w:w="80" w:type="dxa"/>
              <w:right w:w="120" w:type="dxa"/>
            </w:tcMar>
          </w:tcPr>
          <w:p w14:paraId="72445739">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工作项</w:t>
            </w:r>
          </w:p>
        </w:tc>
        <w:tc>
          <w:tcPr>
            <w:tcW w:w="2040" w:type="dxa"/>
            <w:shd w:val="clear" w:color="auto" w:fill="FFFFFF"/>
            <w:tcMar>
              <w:top w:w="80" w:type="dxa"/>
              <w:left w:w="120" w:type="dxa"/>
              <w:bottom w:w="80" w:type="dxa"/>
              <w:right w:w="120" w:type="dxa"/>
            </w:tcMar>
          </w:tcPr>
          <w:p w14:paraId="1A112B1E">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WorkItem</w:t>
            </w:r>
          </w:p>
        </w:tc>
        <w:tc>
          <w:tcPr>
            <w:tcW w:w="3225" w:type="dxa"/>
            <w:shd w:val="clear" w:color="auto" w:fill="FFFFFF"/>
            <w:tcMar>
              <w:top w:w="80" w:type="dxa"/>
              <w:left w:w="120" w:type="dxa"/>
              <w:bottom w:w="80" w:type="dxa"/>
              <w:right w:w="120" w:type="dxa"/>
            </w:tcMar>
          </w:tcPr>
          <w:p w14:paraId="73D696E7">
            <w:pPr>
              <w:keepNext w:val="0"/>
              <w:keepLines w:val="0"/>
              <w:pageBreakBefore w:val="0"/>
              <w:widowControl/>
              <w:kinsoku/>
              <w:wordWrap/>
              <w:topLinePunct w:val="0"/>
              <w:autoSpaceDE/>
              <w:autoSpaceDN/>
              <w:bidi w:val="0"/>
              <w:adjustRightInd/>
              <w:snapToGrid/>
              <w:spacing w:after="0" w:line="240" w:lineRule="auto"/>
              <w:jc w:val="left"/>
              <w:textAlignment w:val="auto"/>
              <w:rPr>
                <w:rFonts w:hint="eastAsia" w:ascii="宋体" w:hAnsi="宋体" w:eastAsia="宋体" w:cs="宋体"/>
                <w:sz w:val="21"/>
                <w:szCs w:val="21"/>
              </w:rPr>
            </w:pPr>
            <w:r>
              <w:rPr>
                <w:rFonts w:hint="eastAsia" w:ascii="宋体" w:hAnsi="宋体" w:eastAsia="宋体" w:cs="宋体"/>
                <w:b w:val="0"/>
                <w:i w:val="0"/>
                <w:sz w:val="21"/>
                <w:szCs w:val="21"/>
              </w:rPr>
              <w:t>复杂任务拆解与隔离</w:t>
            </w:r>
          </w:p>
        </w:tc>
      </w:tr>
      <w:tr w14:paraId="790BE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shd w:val="clear" w:color="auto" w:fill="FFFFFF"/>
            <w:tcMar>
              <w:top w:w="80" w:type="dxa"/>
              <w:left w:w="120" w:type="dxa"/>
              <w:bottom w:w="80" w:type="dxa"/>
              <w:right w:w="120" w:type="dxa"/>
            </w:tcMar>
          </w:tcPr>
          <w:p w14:paraId="39E392E0">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用户交互上下文</w:t>
            </w:r>
          </w:p>
        </w:tc>
        <w:tc>
          <w:tcPr>
            <w:tcW w:w="2048" w:type="dxa"/>
            <w:shd w:val="clear" w:color="auto" w:fill="FFFFFF"/>
            <w:tcMar>
              <w:top w:w="80" w:type="dxa"/>
              <w:left w:w="120" w:type="dxa"/>
              <w:bottom w:w="80" w:type="dxa"/>
              <w:right w:w="120" w:type="dxa"/>
            </w:tcMar>
          </w:tcPr>
          <w:p w14:paraId="6AAB529C">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会话任务</w:t>
            </w:r>
          </w:p>
        </w:tc>
        <w:tc>
          <w:tcPr>
            <w:tcW w:w="2040" w:type="dxa"/>
            <w:shd w:val="clear" w:color="auto" w:fill="FFFFFF"/>
            <w:tcMar>
              <w:top w:w="80" w:type="dxa"/>
              <w:left w:w="120" w:type="dxa"/>
              <w:bottom w:w="80" w:type="dxa"/>
              <w:right w:w="120" w:type="dxa"/>
            </w:tcMar>
          </w:tcPr>
          <w:p w14:paraId="4DE79AD8">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SessionAgent</w:t>
            </w:r>
          </w:p>
        </w:tc>
        <w:tc>
          <w:tcPr>
            <w:tcW w:w="3225" w:type="dxa"/>
            <w:shd w:val="clear" w:color="auto" w:fill="FFFFFF"/>
            <w:tcMar>
              <w:top w:w="80" w:type="dxa"/>
              <w:left w:w="120" w:type="dxa"/>
              <w:bottom w:w="80" w:type="dxa"/>
              <w:right w:w="120" w:type="dxa"/>
            </w:tcMar>
          </w:tcPr>
          <w:p w14:paraId="36F23C03">
            <w:pPr>
              <w:keepNext w:val="0"/>
              <w:keepLines w:val="0"/>
              <w:pageBreakBefore w:val="0"/>
              <w:widowControl/>
              <w:kinsoku/>
              <w:wordWrap/>
              <w:topLinePunct w:val="0"/>
              <w:autoSpaceDE/>
              <w:autoSpaceDN/>
              <w:bidi w:val="0"/>
              <w:adjustRightInd/>
              <w:snapToGrid/>
              <w:spacing w:after="0" w:line="240" w:lineRule="auto"/>
              <w:jc w:val="left"/>
              <w:textAlignment w:val="auto"/>
              <w:rPr>
                <w:rFonts w:hint="eastAsia" w:ascii="宋体" w:hAnsi="宋体" w:eastAsia="宋体" w:cs="宋体"/>
                <w:sz w:val="21"/>
                <w:szCs w:val="21"/>
              </w:rPr>
            </w:pPr>
            <w:r>
              <w:rPr>
                <w:rFonts w:hint="eastAsia" w:ascii="宋体" w:hAnsi="宋体" w:eastAsia="宋体" w:cs="宋体"/>
                <w:b w:val="0"/>
                <w:i w:val="0"/>
                <w:sz w:val="21"/>
                <w:szCs w:val="21"/>
              </w:rPr>
              <w:t>会话组织与任务调度</w:t>
            </w:r>
          </w:p>
        </w:tc>
      </w:tr>
      <w:tr w14:paraId="1F90F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shd w:val="clear" w:color="auto" w:fill="FFFFFF"/>
            <w:tcMar>
              <w:top w:w="80" w:type="dxa"/>
              <w:left w:w="120" w:type="dxa"/>
              <w:bottom w:w="80" w:type="dxa"/>
              <w:right w:w="120" w:type="dxa"/>
            </w:tcMar>
          </w:tcPr>
          <w:p w14:paraId="6E78B4FD">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具体业务任务</w:t>
            </w:r>
          </w:p>
        </w:tc>
        <w:tc>
          <w:tcPr>
            <w:tcW w:w="2048" w:type="dxa"/>
            <w:shd w:val="clear" w:color="auto" w:fill="FFFFFF"/>
            <w:tcMar>
              <w:top w:w="80" w:type="dxa"/>
              <w:left w:w="120" w:type="dxa"/>
              <w:bottom w:w="80" w:type="dxa"/>
              <w:right w:w="120" w:type="dxa"/>
            </w:tcMar>
          </w:tcPr>
          <w:p w14:paraId="2BE19A46">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执行任务</w:t>
            </w:r>
          </w:p>
        </w:tc>
        <w:tc>
          <w:tcPr>
            <w:tcW w:w="2040" w:type="dxa"/>
            <w:shd w:val="clear" w:color="auto" w:fill="FFFFFF"/>
            <w:tcMar>
              <w:top w:w="80" w:type="dxa"/>
              <w:left w:w="120" w:type="dxa"/>
              <w:bottom w:w="80" w:type="dxa"/>
              <w:right w:w="120" w:type="dxa"/>
            </w:tcMar>
          </w:tcPr>
          <w:p w14:paraId="72D3655F">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WorkItemAgent</w:t>
            </w:r>
          </w:p>
        </w:tc>
        <w:tc>
          <w:tcPr>
            <w:tcW w:w="3225" w:type="dxa"/>
            <w:shd w:val="clear" w:color="auto" w:fill="FFFFFF"/>
            <w:tcMar>
              <w:top w:w="80" w:type="dxa"/>
              <w:left w:w="120" w:type="dxa"/>
              <w:bottom w:w="80" w:type="dxa"/>
              <w:right w:w="120" w:type="dxa"/>
            </w:tcMar>
          </w:tcPr>
          <w:p w14:paraId="6C97C2AB">
            <w:pPr>
              <w:keepNext w:val="0"/>
              <w:keepLines w:val="0"/>
              <w:pageBreakBefore w:val="0"/>
              <w:widowControl/>
              <w:kinsoku/>
              <w:wordWrap/>
              <w:topLinePunct w:val="0"/>
              <w:autoSpaceDE/>
              <w:autoSpaceDN/>
              <w:bidi w:val="0"/>
              <w:adjustRightInd/>
              <w:snapToGrid/>
              <w:spacing w:after="0" w:line="240" w:lineRule="auto"/>
              <w:jc w:val="left"/>
              <w:textAlignment w:val="auto"/>
              <w:rPr>
                <w:rFonts w:hint="eastAsia" w:ascii="宋体" w:hAnsi="宋体" w:eastAsia="宋体" w:cs="宋体"/>
                <w:sz w:val="21"/>
                <w:szCs w:val="21"/>
              </w:rPr>
            </w:pPr>
            <w:r>
              <w:rPr>
                <w:rFonts w:hint="eastAsia" w:ascii="宋体" w:hAnsi="宋体" w:eastAsia="宋体" w:cs="宋体"/>
                <w:b w:val="0"/>
                <w:i w:val="0"/>
                <w:sz w:val="21"/>
                <w:szCs w:val="21"/>
              </w:rPr>
              <w:t>具体能力调用与业务执行</w:t>
            </w:r>
          </w:p>
        </w:tc>
      </w:tr>
      <w:tr w14:paraId="66B36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shd w:val="clear" w:color="auto" w:fill="FFFFFF"/>
            <w:tcMar>
              <w:top w:w="80" w:type="dxa"/>
              <w:left w:w="120" w:type="dxa"/>
              <w:bottom w:w="80" w:type="dxa"/>
              <w:right w:w="120" w:type="dxa"/>
            </w:tcMar>
          </w:tcPr>
          <w:p w14:paraId="77BCCCB1">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组织权限/责任</w:t>
            </w:r>
          </w:p>
        </w:tc>
        <w:tc>
          <w:tcPr>
            <w:tcW w:w="2048" w:type="dxa"/>
            <w:shd w:val="clear" w:color="auto" w:fill="FFFFFF"/>
            <w:tcMar>
              <w:top w:w="80" w:type="dxa"/>
              <w:left w:w="120" w:type="dxa"/>
              <w:bottom w:w="80" w:type="dxa"/>
              <w:right w:w="120" w:type="dxa"/>
            </w:tcMar>
          </w:tcPr>
          <w:p w14:paraId="7B5933A1">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核验任务</w:t>
            </w:r>
          </w:p>
        </w:tc>
        <w:tc>
          <w:tcPr>
            <w:tcW w:w="2040" w:type="dxa"/>
            <w:shd w:val="clear" w:color="auto" w:fill="FFFFFF"/>
            <w:tcMar>
              <w:top w:w="80" w:type="dxa"/>
              <w:left w:w="120" w:type="dxa"/>
              <w:bottom w:w="80" w:type="dxa"/>
              <w:right w:w="120" w:type="dxa"/>
            </w:tcMar>
          </w:tcPr>
          <w:p w14:paraId="508EF240">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GuardianAgent</w:t>
            </w:r>
          </w:p>
        </w:tc>
        <w:tc>
          <w:tcPr>
            <w:tcW w:w="3225" w:type="dxa"/>
            <w:shd w:val="clear" w:color="auto" w:fill="FFFFFF"/>
            <w:tcMar>
              <w:top w:w="80" w:type="dxa"/>
              <w:left w:w="120" w:type="dxa"/>
              <w:bottom w:w="80" w:type="dxa"/>
              <w:right w:w="120" w:type="dxa"/>
            </w:tcMar>
          </w:tcPr>
          <w:p w14:paraId="7515B5CA">
            <w:pPr>
              <w:keepNext w:val="0"/>
              <w:keepLines w:val="0"/>
              <w:pageBreakBefore w:val="0"/>
              <w:widowControl/>
              <w:kinsoku/>
              <w:wordWrap/>
              <w:topLinePunct w:val="0"/>
              <w:autoSpaceDE/>
              <w:autoSpaceDN/>
              <w:bidi w:val="0"/>
              <w:adjustRightInd/>
              <w:snapToGrid/>
              <w:spacing w:after="0" w:line="240" w:lineRule="auto"/>
              <w:jc w:val="left"/>
              <w:textAlignment w:val="auto"/>
              <w:rPr>
                <w:rFonts w:hint="eastAsia" w:ascii="宋体" w:hAnsi="宋体" w:eastAsia="宋体" w:cs="宋体"/>
                <w:sz w:val="21"/>
                <w:szCs w:val="21"/>
              </w:rPr>
            </w:pPr>
            <w:r>
              <w:rPr>
                <w:rFonts w:hint="eastAsia" w:ascii="宋体" w:hAnsi="宋体" w:eastAsia="宋体" w:cs="宋体"/>
                <w:b w:val="0"/>
                <w:i w:val="0"/>
                <w:sz w:val="21"/>
                <w:szCs w:val="21"/>
              </w:rPr>
              <w:t>权限、规则与结果约束核验</w:t>
            </w:r>
          </w:p>
        </w:tc>
      </w:tr>
    </w:tbl>
    <w:p w14:paraId="407E1FD6">
      <w:pPr>
        <w:keepNext w:val="0"/>
        <w:keepLines w:val="0"/>
        <w:pageBreakBefore w:val="0"/>
        <w:widowControl/>
        <w:kinsoku/>
        <w:wordWrap/>
        <w:topLinePunct w:val="0"/>
        <w:autoSpaceDE/>
        <w:autoSpaceDN/>
        <w:bidi w:val="0"/>
        <w:adjustRightInd/>
        <w:snapToGrid/>
        <w:spacing w:after="0" w:line="300" w:lineRule="auto"/>
        <w:jc w:val="left"/>
        <w:textAlignment w:val="auto"/>
        <w:rPr>
          <w:rFonts w:hint="eastAsia" w:ascii="宋体" w:hAnsi="宋体" w:eastAsia="宋体" w:cs="宋体"/>
          <w:sz w:val="21"/>
          <w:szCs w:val="21"/>
        </w:rPr>
      </w:pPr>
    </w:p>
    <w:p w14:paraId="5D620163">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sz w:val="21"/>
          <w:szCs w:val="21"/>
        </w:rPr>
      </w:pPr>
      <w:r>
        <w:rPr>
          <w:rFonts w:hint="eastAsia" w:ascii="宋体" w:hAnsi="宋体" w:eastAsia="宋体" w:cs="宋体"/>
          <w:b w:val="0"/>
          <w:i w:val="0"/>
          <w:sz w:val="21"/>
          <w:szCs w:val="21"/>
        </w:rPr>
        <w:t>上述映射关系构成本文框架设计的核心。其基本逻辑不是“把几个成熟Agent组件组合在一起”，而是由地产管理对象反向决定Agent需要具备哪些技术对象：状态需要状态空间，项目过程信息需要公共认知，SOP需要能力单元，复合任务需要工作项，而组织责任则要求执行与核验相分离。</w:t>
      </w:r>
    </w:p>
    <w:p w14:paraId="5779AC7F">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需要明确的是，三书属于框架的认知组织层，为Agent提供项目实时上下文、组织约束与系统能力信息，而不是Agent执行模块；具体任务的规划、执行与核验分别由SessionAgent、WorkItemAgent与GuardianAgent承担，认知组织与任务执行在框架中分属不同层次。</w:t>
      </w:r>
    </w:p>
    <w:p w14:paraId="3CB2A25D">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3.3 框架设计约束</w:t>
      </w:r>
    </w:p>
    <w:p w14:paraId="2E072411">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管理要素的技术化并不意味着AI获得独立的组织决策权。本文据此形成四项设计约束：AI作为辅助工具，不承担组织责任；团队而非个人作为公共知识主体；通过IM自然语言降低信息采集门槛；通过Skill/Plugin实现能力扩展，同时对规则和流程变更保持人工控制。其共同边界是：人定义规则和责任边界，系统负责信息组织与受控执行，人完成关键判断与升级决策。</w:t>
      </w:r>
    </w:p>
    <w:p w14:paraId="4698D473">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3.4 总体框架模型</w:t>
      </w:r>
    </w:p>
    <w:p w14:paraId="31EE90B6">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综合上述管理要素映射与设计约束，针对行业信息协同核心问题，框架经三书认知基座、LLM增强FSM、Skill化SOP、三智能体分工与权限钩子等工程实现机制，形成过程信息持续进入、多源信息关联组织、组织知识持续沉淀与复用等团队信息协同能力，整体功能组织逻辑如图1所示。</w:t>
      </w:r>
    </w:p>
    <w:p w14:paraId="23129FCC">
      <w:pPr>
        <w:keepNext w:val="0"/>
        <w:keepLines w:val="0"/>
        <w:pageBreakBefore w:val="0"/>
        <w:widowControl/>
        <w:kinsoku/>
        <w:wordWrap/>
        <w:topLinePunct w:val="0"/>
        <w:autoSpaceDE/>
        <w:autoSpaceDN/>
        <w:bidi w:val="0"/>
        <w:adjustRightInd/>
        <w:snapToGrid/>
        <w:spacing w:after="0" w:line="300" w:lineRule="auto"/>
        <w:ind w:firstLine="420"/>
        <w:jc w:val="center"/>
        <w:textAlignment w:val="auto"/>
        <w:rPr>
          <w:rFonts w:hint="eastAsia" w:ascii="宋体" w:hAnsi="宋体" w:eastAsia="宋体" w:cs="宋体"/>
          <w:b w:val="0"/>
          <w:i w:val="0"/>
          <w:sz w:val="21"/>
          <w:szCs w:val="21"/>
          <w:lang w:eastAsia="zh-CN"/>
        </w:rPr>
      </w:pPr>
      <w:r>
        <w:rPr>
          <w:rFonts w:hint="eastAsia" w:ascii="宋体" w:hAnsi="宋体" w:eastAsia="宋体" w:cs="宋体"/>
          <w:b w:val="0"/>
          <w:i w:val="0"/>
          <w:sz w:val="21"/>
          <w:szCs w:val="21"/>
          <w:lang w:eastAsia="zh-CN"/>
        </w:rPr>
        <w:drawing>
          <wp:inline distT="0" distB="0" distL="114300" distR="114300">
            <wp:extent cx="5941060" cy="4258945"/>
            <wp:effectExtent l="0" t="0" r="2540" b="8255"/>
            <wp:docPr id="1" name="图片 1" descr="图1 功能组织逻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1 功能组织逻辑"/>
                    <pic:cNvPicPr>
                      <a:picLocks noChangeAspect="1"/>
                    </pic:cNvPicPr>
                  </pic:nvPicPr>
                  <pic:blipFill>
                    <a:blip r:embed="rId6"/>
                    <a:stretch>
                      <a:fillRect/>
                    </a:stretch>
                  </pic:blipFill>
                  <pic:spPr>
                    <a:xfrm>
                      <a:off x="0" y="0"/>
                      <a:ext cx="5941060" cy="4258945"/>
                    </a:xfrm>
                    <a:prstGeom prst="rect">
                      <a:avLst/>
                    </a:prstGeom>
                  </pic:spPr>
                </pic:pic>
              </a:graphicData>
            </a:graphic>
          </wp:inline>
        </w:drawing>
      </w:r>
    </w:p>
    <w:p w14:paraId="7703875F">
      <w:pPr>
        <w:keepNext w:val="0"/>
        <w:keepLines w:val="0"/>
        <w:pageBreakBefore w:val="0"/>
        <w:widowControl/>
        <w:kinsoku/>
        <w:wordWrap/>
        <w:topLinePunct w:val="0"/>
        <w:autoSpaceDE/>
        <w:autoSpaceDN/>
        <w:bidi w:val="0"/>
        <w:adjustRightInd/>
        <w:snapToGrid/>
        <w:spacing w:after="0" w:line="300" w:lineRule="auto"/>
        <w:jc w:val="center"/>
        <w:textAlignment w:val="auto"/>
        <w:rPr>
          <w:rFonts w:hint="eastAsia" w:ascii="宋体" w:hAnsi="宋体" w:eastAsia="宋体" w:cs="宋体"/>
          <w:sz w:val="21"/>
          <w:szCs w:val="21"/>
        </w:rPr>
      </w:pPr>
      <w:r>
        <w:rPr>
          <w:rFonts w:hint="eastAsia" w:ascii="宋体" w:hAnsi="宋体" w:eastAsia="宋体" w:cs="宋体"/>
          <w:b/>
          <w:i w:val="0"/>
          <w:sz w:val="21"/>
          <w:szCs w:val="21"/>
        </w:rPr>
        <w:t>图1 问题—设计原则—工程机制—组织能力形成逻辑</w:t>
      </w:r>
    </w:p>
    <w:p w14:paraId="2EB8CE04">
      <w:pPr>
        <w:keepNext w:val="0"/>
        <w:keepLines w:val="0"/>
        <w:pageBreakBefore w:val="0"/>
        <w:widowControl/>
        <w:kinsoku/>
        <w:wordWrap/>
        <w:overflowPunct/>
        <w:topLinePunct w:val="0"/>
        <w:autoSpaceDE/>
        <w:autoSpaceDN/>
        <w:bidi w:val="0"/>
        <w:adjustRightInd/>
        <w:snapToGrid/>
        <w:spacing w:before="289" w:beforeLines="80" w:after="145" w:afterLines="40" w:line="300" w:lineRule="auto"/>
        <w:jc w:val="left"/>
        <w:textAlignment w:val="auto"/>
        <w:rPr>
          <w:rFonts w:hint="eastAsia" w:ascii="宋体" w:hAnsi="宋体" w:eastAsia="宋体" w:cs="宋体"/>
          <w:sz w:val="21"/>
          <w:szCs w:val="21"/>
        </w:rPr>
      </w:pPr>
      <w:r>
        <w:rPr>
          <w:rFonts w:hint="eastAsia" w:ascii="宋体" w:hAnsi="宋体" w:eastAsia="宋体" w:cs="宋体"/>
          <w:b/>
          <w:i w:val="0"/>
          <w:sz w:val="21"/>
          <w:szCs w:val="21"/>
        </w:rPr>
        <w:t>4 信息协同型AI智能体框架设计</w:t>
      </w:r>
    </w:p>
    <w:p w14:paraId="6A46450C">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4.1 总体架构</w:t>
      </w:r>
    </w:p>
    <w:p w14:paraId="0D397359">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基于第三章的领域映射，本文构建信息协同型AI智能体框架。框架由用户与接入层、智能体分工层、三书认知基座、业务底座及基础设施五部分组成，并以定时复盘闭环作为受控改进回路。Emily系统可作为该框架的工程实现载体。</w:t>
      </w:r>
    </w:p>
    <w:p w14:paraId="4F868DCB">
      <w:pPr>
        <w:keepNext w:val="0"/>
        <w:keepLines w:val="0"/>
        <w:pageBreakBefore w:val="0"/>
        <w:widowControl/>
        <w:kinsoku/>
        <w:wordWrap/>
        <w:topLinePunct w:val="0"/>
        <w:autoSpaceDE/>
        <w:autoSpaceDN/>
        <w:bidi w:val="0"/>
        <w:adjustRightInd/>
        <w:snapToGrid/>
        <w:spacing w:after="0" w:line="300" w:lineRule="auto"/>
        <w:ind w:firstLine="420"/>
        <w:jc w:val="center"/>
        <w:textAlignment w:val="auto"/>
        <w:rPr>
          <w:rFonts w:hint="eastAsia" w:ascii="宋体" w:hAnsi="宋体" w:eastAsia="宋体" w:cs="宋体"/>
          <w:b w:val="0"/>
          <w:i w:val="0"/>
          <w:sz w:val="21"/>
          <w:szCs w:val="21"/>
          <w:lang w:eastAsia="zh-CN"/>
        </w:rPr>
      </w:pPr>
      <w:r>
        <w:rPr>
          <w:rFonts w:hint="eastAsia" w:ascii="宋体" w:hAnsi="宋体" w:eastAsia="宋体" w:cs="宋体"/>
          <w:b w:val="0"/>
          <w:i w:val="0"/>
          <w:sz w:val="21"/>
          <w:szCs w:val="21"/>
          <w:lang w:eastAsia="zh-CN"/>
        </w:rPr>
        <w:drawing>
          <wp:inline distT="0" distB="0" distL="114300" distR="114300">
            <wp:extent cx="5463540" cy="6262370"/>
            <wp:effectExtent l="0" t="0" r="3810" b="5080"/>
            <wp:docPr id="6" name="图片 6" descr="图2-系统架构图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2-系统架构图_++"/>
                    <pic:cNvPicPr>
                      <a:picLocks noChangeAspect="1"/>
                    </pic:cNvPicPr>
                  </pic:nvPicPr>
                  <pic:blipFill>
                    <a:blip r:embed="rId7"/>
                    <a:stretch>
                      <a:fillRect/>
                    </a:stretch>
                  </pic:blipFill>
                  <pic:spPr>
                    <a:xfrm>
                      <a:off x="0" y="0"/>
                      <a:ext cx="5463540" cy="6262370"/>
                    </a:xfrm>
                    <a:prstGeom prst="rect">
                      <a:avLst/>
                    </a:prstGeom>
                  </pic:spPr>
                </pic:pic>
              </a:graphicData>
            </a:graphic>
          </wp:inline>
        </w:drawing>
      </w:r>
    </w:p>
    <w:p w14:paraId="0A4B65E0">
      <w:pPr>
        <w:keepNext w:val="0"/>
        <w:keepLines w:val="0"/>
        <w:pageBreakBefore w:val="0"/>
        <w:widowControl/>
        <w:kinsoku/>
        <w:wordWrap/>
        <w:topLinePunct w:val="0"/>
        <w:autoSpaceDE/>
        <w:autoSpaceDN/>
        <w:bidi w:val="0"/>
        <w:adjustRightInd/>
        <w:snapToGrid/>
        <w:spacing w:after="0" w:line="300" w:lineRule="auto"/>
        <w:jc w:val="center"/>
        <w:textAlignment w:val="auto"/>
        <w:rPr>
          <w:rFonts w:hint="eastAsia" w:ascii="宋体" w:hAnsi="宋体" w:eastAsia="宋体" w:cs="宋体"/>
          <w:sz w:val="21"/>
          <w:szCs w:val="21"/>
        </w:rPr>
      </w:pPr>
      <w:r>
        <w:rPr>
          <w:rFonts w:hint="eastAsia" w:ascii="宋体" w:hAnsi="宋体" w:eastAsia="宋体" w:cs="宋体"/>
          <w:b/>
          <w:i w:val="0"/>
          <w:sz w:val="21"/>
          <w:szCs w:val="21"/>
        </w:rPr>
        <w:t>图2 信息协同型AI智能体总体架构</w:t>
      </w:r>
    </w:p>
    <w:p w14:paraId="0330B616">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框架的核心不是Agent数量，而是职责和信息结构的分离：用户交互由SessionAgent组织，具体业务任务由WorkItemAgent处理，关键执行边界由GuardianAgent进行职责隔离的二次核验；三书则作为认知组织层，为不同角色提供统一的团队公共认知。</w:t>
      </w:r>
    </w:p>
    <w:p w14:paraId="2C1F4C17">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4.2 三书认知基座</w:t>
      </w:r>
    </w:p>
    <w:p w14:paraId="2DEE975C">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4.2.1 项目态势书</w:t>
      </w:r>
    </w:p>
    <w:p w14:paraId="61FD2A4A">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项目态势书是以项目节点和过程事件为骨架的团队公共项目认知对象，组织节点状态、过程事件、成果索引和相关业务数据。它不是资料全文副本，而是指导Agent进一步探索的信息地图：结构化状态由DB保存，非结构化过程记录通过RAG索引。</w:t>
      </w:r>
    </w:p>
    <w:p w14:paraId="2F6EF4A4">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4.2.2 组织规则书</w:t>
      </w:r>
    </w:p>
    <w:p w14:paraId="70FC4B2C">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组织规则书用于组织企业制度、项目管理要求、验收标准、合同规则及相关规范条文，为具体任务提供适用约束。规则通过语义检索结合版本、生效时间和适用范围等元数据筛选，并在关键任务中作为核验依据。</w:t>
      </w:r>
    </w:p>
    <w:p w14:paraId="47F8F94E">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4.2.3 系统能力书</w:t>
      </w:r>
    </w:p>
    <w:p w14:paraId="60E21F3E">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系统能力书描述当前可调用的RAG、DB、业务插件和Skill等能力，解决的是Agent如何知道自己可以做什么。能力以功能、输入输出、适用条件和权限要求等元数据描述，Agent先语义匹配候选能力，再按任务需要加载。</w:t>
      </w:r>
    </w:p>
    <w:p w14:paraId="55D5BE6F">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4.2.4 三书联动与渐进式发现</w:t>
      </w:r>
    </w:p>
    <w:p w14:paraId="40B27C5D">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三书并不是三个独立数据库，而是三个逻辑认知对象，采用“共享地图、按需探索”的方式运行，即“任务识别→三书目录/摘要→按需深入→WorkItem执行与核验”。这种组织方式使公共认知从“全文灌入上下文”转变为“地图式渐进探索”，有利于控制无关信息进入模型，并适应项目资料持续增长。</w:t>
      </w:r>
    </w:p>
    <w:p w14:paraId="5D8685ED">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4.3 LLM增强有限状态机</w:t>
      </w:r>
    </w:p>
    <w:p w14:paraId="7E45B620">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地产项目节点具有明确的阶段和合法转移关系，因此状态空间不宜由LLM自由生成。本文采用“人定义状态空间、系统维护状态关系、LLM辅助语义判断”的方式。LLM从自然语言与事件信息中提取状态证据并提出候选转移，实际状态变化仍受FSM、成果条件、业务规则、权限和必要人工确认约束。例如“园路铺装完成”只能作为状态证据，不能单独触发后续状态。</w:t>
      </w:r>
    </w:p>
    <w:p w14:paraId="20860128">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4.4 Skill化SOP</w:t>
      </w:r>
    </w:p>
    <w:p w14:paraId="45F52DEF">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4.4.1 业务能力单元化</w:t>
      </w:r>
    </w:p>
    <w:p w14:paraId="4108BE3D">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地产企业大量业务知识以SOP和操作手册形式存在，但传统SOP主要面向人员阅读。本文将标准化业务流程封装为Skill，使其成为Agent可发现、可调用和可执行的能力单元。Skill包含任务描述、输入参数、前置条件、工具绑定、输出结构、结果约束和权限要求等信息。</w:t>
      </w:r>
    </w:p>
    <w:p w14:paraId="0F46D966">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4.4.2 能力发现与执行</w:t>
      </w:r>
    </w:p>
    <w:p w14:paraId="116F0774">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系统通过系统能力书进行语义匹配，Agent先发现候选Skill，再获取输入、前置条件和结果约束。WorkItemAgent采用“自然语言→结构化参数→预定义能力”的方式执行，LLM主要负责理解和参数组织，具体业务动作由Skill、DB、RAG或插件承担。</w:t>
      </w:r>
    </w:p>
    <w:p w14:paraId="26C8B9AC">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4.4.3 非预设场景下的能力组合</w:t>
      </w:r>
    </w:p>
    <w:p w14:paraId="139AC51D">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当系统能力书中没有匹配到专属SOP时，对于不需要新增业务规则的复合信息任务，可以在权限允许范围内组合已有RAG、DB、事件日志和历史经验等基础能力。</w:t>
      </w:r>
    </w:p>
    <w:p w14:paraId="38929ABD">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需要明确区分“能力组合”与“新流程生成”：前者是在既有能力边界内临时组织任务，后者会改变组织规则或业务流程。本文仅允许前者，新的SOP、流程规则和状态空间变更仍需人工审核。</w:t>
      </w:r>
    </w:p>
    <w:p w14:paraId="73C9BE6C">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4.5 三智能体协作</w:t>
      </w:r>
    </w:p>
    <w:p w14:paraId="223BD35D">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bCs/>
          <w:sz w:val="21"/>
          <w:szCs w:val="21"/>
        </w:rPr>
      </w:pPr>
      <w:r>
        <w:rPr>
          <w:rFonts w:hint="eastAsia" w:ascii="宋体" w:hAnsi="宋体" w:eastAsia="宋体" w:cs="宋体"/>
          <w:b w:val="0"/>
          <w:i w:val="0"/>
          <w:sz w:val="21"/>
          <w:szCs w:val="21"/>
        </w:rPr>
        <w:t>三Agent并非为了增加系</w:t>
      </w:r>
      <w:r>
        <w:rPr>
          <w:rFonts w:hint="eastAsia" w:ascii="宋体" w:hAnsi="宋体" w:eastAsia="宋体" w:cs="宋体"/>
          <w:b w:val="0"/>
          <w:bCs/>
          <w:i w:val="0"/>
          <w:sz w:val="21"/>
          <w:szCs w:val="21"/>
        </w:rPr>
        <w:t>统中的模型数量，而是将地产项目中的任务组织、业务执行和责任核验映射为不同的技术职责。</w:t>
      </w:r>
    </w:p>
    <w:p w14:paraId="25D06B2F">
      <w:pPr>
        <w:keepNext w:val="0"/>
        <w:keepLines w:val="0"/>
        <w:pageBreakBefore w:val="0"/>
        <w:widowControl/>
        <w:kinsoku/>
        <w:wordWrap/>
        <w:topLinePunct w:val="0"/>
        <w:autoSpaceDE/>
        <w:autoSpaceDN/>
        <w:bidi w:val="0"/>
        <w:adjustRightInd/>
        <w:snapToGrid/>
        <w:spacing w:after="0" w:line="300" w:lineRule="auto"/>
        <w:jc w:val="center"/>
        <w:textAlignment w:val="auto"/>
        <w:rPr>
          <w:rFonts w:hint="eastAsia" w:ascii="宋体" w:hAnsi="宋体" w:eastAsia="宋体" w:cs="宋体"/>
          <w:sz w:val="21"/>
          <w:szCs w:val="21"/>
        </w:rPr>
      </w:pPr>
      <w:r>
        <w:rPr>
          <w:rFonts w:hint="eastAsia" w:ascii="宋体" w:hAnsi="宋体" w:eastAsia="宋体" w:cs="宋体"/>
          <w:b/>
          <w:i w:val="0"/>
          <w:sz w:val="21"/>
          <w:szCs w:val="21"/>
        </w:rPr>
        <w:t>表4 三书与核心Agent机制</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321"/>
        <w:gridCol w:w="2919"/>
      </w:tblGrid>
      <w:tr w14:paraId="374CF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shd w:val="clear" w:color="auto" w:fill="F2F2F2"/>
            <w:tcMar>
              <w:top w:w="80" w:type="dxa"/>
              <w:left w:w="120" w:type="dxa"/>
              <w:bottom w:w="80" w:type="dxa"/>
              <w:right w:w="120" w:type="dxa"/>
            </w:tcMar>
          </w:tcPr>
          <w:p w14:paraId="2E3D36A0">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i w:val="0"/>
                <w:sz w:val="21"/>
                <w:szCs w:val="21"/>
              </w:rPr>
              <w:t>模块</w:t>
            </w:r>
          </w:p>
        </w:tc>
        <w:tc>
          <w:tcPr>
            <w:tcW w:w="3321" w:type="dxa"/>
            <w:shd w:val="clear" w:color="auto" w:fill="F2F2F2"/>
            <w:tcMar>
              <w:top w:w="80" w:type="dxa"/>
              <w:left w:w="120" w:type="dxa"/>
              <w:bottom w:w="80" w:type="dxa"/>
              <w:right w:w="120" w:type="dxa"/>
            </w:tcMar>
          </w:tcPr>
          <w:p w14:paraId="27B27DD8">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i w:val="0"/>
                <w:sz w:val="21"/>
                <w:szCs w:val="21"/>
              </w:rPr>
              <w:t>核心对象</w:t>
            </w:r>
          </w:p>
        </w:tc>
        <w:tc>
          <w:tcPr>
            <w:tcW w:w="2919" w:type="dxa"/>
            <w:shd w:val="clear" w:color="auto" w:fill="F2F2F2"/>
            <w:tcMar>
              <w:top w:w="80" w:type="dxa"/>
              <w:left w:w="120" w:type="dxa"/>
              <w:bottom w:w="80" w:type="dxa"/>
              <w:right w:w="120" w:type="dxa"/>
            </w:tcMar>
          </w:tcPr>
          <w:p w14:paraId="6348640C">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i w:val="0"/>
                <w:sz w:val="21"/>
                <w:szCs w:val="21"/>
              </w:rPr>
              <w:t>主要作用</w:t>
            </w:r>
          </w:p>
        </w:tc>
      </w:tr>
      <w:tr w14:paraId="16588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shd w:val="clear" w:color="auto" w:fill="FFFFFF"/>
            <w:tcMar>
              <w:top w:w="80" w:type="dxa"/>
              <w:left w:w="120" w:type="dxa"/>
              <w:bottom w:w="80" w:type="dxa"/>
              <w:right w:w="120" w:type="dxa"/>
            </w:tcMar>
          </w:tcPr>
          <w:p w14:paraId="6E26B978">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项目态势书</w:t>
            </w:r>
          </w:p>
        </w:tc>
        <w:tc>
          <w:tcPr>
            <w:tcW w:w="3321" w:type="dxa"/>
            <w:shd w:val="clear" w:color="auto" w:fill="FFFFFF"/>
            <w:tcMar>
              <w:top w:w="80" w:type="dxa"/>
              <w:left w:w="120" w:type="dxa"/>
              <w:bottom w:w="80" w:type="dxa"/>
              <w:right w:w="120" w:type="dxa"/>
            </w:tcMar>
          </w:tcPr>
          <w:p w14:paraId="3A27F54D">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项目状态、过程事件、资料索引</w:t>
            </w:r>
          </w:p>
        </w:tc>
        <w:tc>
          <w:tcPr>
            <w:tcW w:w="2919" w:type="dxa"/>
            <w:shd w:val="clear" w:color="auto" w:fill="FFFFFF"/>
            <w:tcMar>
              <w:top w:w="80" w:type="dxa"/>
              <w:left w:w="120" w:type="dxa"/>
              <w:bottom w:w="80" w:type="dxa"/>
              <w:right w:w="120" w:type="dxa"/>
            </w:tcMar>
          </w:tcPr>
          <w:p w14:paraId="1048C551">
            <w:pPr>
              <w:keepNext w:val="0"/>
              <w:keepLines w:val="0"/>
              <w:pageBreakBefore w:val="0"/>
              <w:widowControl/>
              <w:kinsoku/>
              <w:wordWrap/>
              <w:topLinePunct w:val="0"/>
              <w:autoSpaceDE/>
              <w:autoSpaceDN/>
              <w:bidi w:val="0"/>
              <w:adjustRightInd/>
              <w:snapToGrid/>
              <w:spacing w:after="0" w:line="240" w:lineRule="auto"/>
              <w:jc w:val="left"/>
              <w:textAlignment w:val="auto"/>
              <w:rPr>
                <w:rFonts w:hint="eastAsia" w:ascii="宋体" w:hAnsi="宋体" w:eastAsia="宋体" w:cs="宋体"/>
                <w:sz w:val="21"/>
                <w:szCs w:val="21"/>
              </w:rPr>
            </w:pPr>
            <w:r>
              <w:rPr>
                <w:rFonts w:hint="eastAsia" w:ascii="宋体" w:hAnsi="宋体" w:eastAsia="宋体" w:cs="宋体"/>
                <w:b w:val="0"/>
                <w:i w:val="0"/>
                <w:sz w:val="21"/>
                <w:szCs w:val="21"/>
              </w:rPr>
              <w:t>形成项目公共认知</w:t>
            </w:r>
          </w:p>
        </w:tc>
      </w:tr>
      <w:tr w14:paraId="77BF7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shd w:val="clear" w:color="auto" w:fill="FFFFFF"/>
            <w:tcMar>
              <w:top w:w="80" w:type="dxa"/>
              <w:left w:w="120" w:type="dxa"/>
              <w:bottom w:w="80" w:type="dxa"/>
              <w:right w:w="120" w:type="dxa"/>
            </w:tcMar>
          </w:tcPr>
          <w:p w14:paraId="396334AF">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组织规则书</w:t>
            </w:r>
          </w:p>
        </w:tc>
        <w:tc>
          <w:tcPr>
            <w:tcW w:w="3321" w:type="dxa"/>
            <w:shd w:val="clear" w:color="auto" w:fill="FFFFFF"/>
            <w:tcMar>
              <w:top w:w="80" w:type="dxa"/>
              <w:left w:w="120" w:type="dxa"/>
              <w:bottom w:w="80" w:type="dxa"/>
              <w:right w:w="120" w:type="dxa"/>
            </w:tcMar>
          </w:tcPr>
          <w:p w14:paraId="0E859078">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制度、标准、合同、规则元数据</w:t>
            </w:r>
          </w:p>
        </w:tc>
        <w:tc>
          <w:tcPr>
            <w:tcW w:w="2919" w:type="dxa"/>
            <w:shd w:val="clear" w:color="auto" w:fill="FFFFFF"/>
            <w:tcMar>
              <w:top w:w="80" w:type="dxa"/>
              <w:left w:w="120" w:type="dxa"/>
              <w:bottom w:w="80" w:type="dxa"/>
              <w:right w:w="120" w:type="dxa"/>
            </w:tcMar>
          </w:tcPr>
          <w:p w14:paraId="70645AA4">
            <w:pPr>
              <w:keepNext w:val="0"/>
              <w:keepLines w:val="0"/>
              <w:pageBreakBefore w:val="0"/>
              <w:widowControl/>
              <w:kinsoku/>
              <w:wordWrap/>
              <w:topLinePunct w:val="0"/>
              <w:autoSpaceDE/>
              <w:autoSpaceDN/>
              <w:bidi w:val="0"/>
              <w:adjustRightInd/>
              <w:snapToGrid/>
              <w:spacing w:after="0" w:line="240" w:lineRule="auto"/>
              <w:jc w:val="left"/>
              <w:textAlignment w:val="auto"/>
              <w:rPr>
                <w:rFonts w:hint="eastAsia" w:ascii="宋体" w:hAnsi="宋体" w:eastAsia="宋体" w:cs="宋体"/>
                <w:sz w:val="21"/>
                <w:szCs w:val="21"/>
              </w:rPr>
            </w:pPr>
            <w:r>
              <w:rPr>
                <w:rFonts w:hint="eastAsia" w:ascii="宋体" w:hAnsi="宋体" w:eastAsia="宋体" w:cs="宋体"/>
                <w:b w:val="0"/>
                <w:i w:val="0"/>
                <w:sz w:val="21"/>
                <w:szCs w:val="21"/>
              </w:rPr>
              <w:t>提供适用约束</w:t>
            </w:r>
          </w:p>
        </w:tc>
      </w:tr>
      <w:tr w14:paraId="22D84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shd w:val="clear" w:color="auto" w:fill="FFFFFF"/>
            <w:tcMar>
              <w:top w:w="80" w:type="dxa"/>
              <w:left w:w="120" w:type="dxa"/>
              <w:bottom w:w="80" w:type="dxa"/>
              <w:right w:w="120" w:type="dxa"/>
            </w:tcMar>
          </w:tcPr>
          <w:p w14:paraId="112FD70B">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系统能力书</w:t>
            </w:r>
          </w:p>
        </w:tc>
        <w:tc>
          <w:tcPr>
            <w:tcW w:w="3321" w:type="dxa"/>
            <w:shd w:val="clear" w:color="auto" w:fill="FFFFFF"/>
            <w:tcMar>
              <w:top w:w="80" w:type="dxa"/>
              <w:left w:w="120" w:type="dxa"/>
              <w:bottom w:w="80" w:type="dxa"/>
              <w:right w:w="120" w:type="dxa"/>
            </w:tcMar>
          </w:tcPr>
          <w:p w14:paraId="01B18B28">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Skill、RAG、DB、Plugin元数据</w:t>
            </w:r>
          </w:p>
        </w:tc>
        <w:tc>
          <w:tcPr>
            <w:tcW w:w="2919" w:type="dxa"/>
            <w:shd w:val="clear" w:color="auto" w:fill="FFFFFF"/>
            <w:tcMar>
              <w:top w:w="80" w:type="dxa"/>
              <w:left w:w="120" w:type="dxa"/>
              <w:bottom w:w="80" w:type="dxa"/>
              <w:right w:w="120" w:type="dxa"/>
            </w:tcMar>
          </w:tcPr>
          <w:p w14:paraId="54BB3AAD">
            <w:pPr>
              <w:keepNext w:val="0"/>
              <w:keepLines w:val="0"/>
              <w:pageBreakBefore w:val="0"/>
              <w:widowControl/>
              <w:kinsoku/>
              <w:wordWrap/>
              <w:topLinePunct w:val="0"/>
              <w:autoSpaceDE/>
              <w:autoSpaceDN/>
              <w:bidi w:val="0"/>
              <w:adjustRightInd/>
              <w:snapToGrid/>
              <w:spacing w:after="0" w:line="240" w:lineRule="auto"/>
              <w:jc w:val="left"/>
              <w:textAlignment w:val="auto"/>
              <w:rPr>
                <w:rFonts w:hint="eastAsia" w:ascii="宋体" w:hAnsi="宋体" w:eastAsia="宋体" w:cs="宋体"/>
                <w:sz w:val="21"/>
                <w:szCs w:val="21"/>
              </w:rPr>
            </w:pPr>
            <w:r>
              <w:rPr>
                <w:rFonts w:hint="eastAsia" w:ascii="宋体" w:hAnsi="宋体" w:eastAsia="宋体" w:cs="宋体"/>
                <w:b w:val="0"/>
                <w:i w:val="0"/>
                <w:sz w:val="21"/>
                <w:szCs w:val="21"/>
              </w:rPr>
              <w:t>能力发现与调用</w:t>
            </w:r>
          </w:p>
        </w:tc>
      </w:tr>
      <w:tr w14:paraId="07FA1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shd w:val="clear" w:color="auto" w:fill="FFFFFF"/>
            <w:tcMar>
              <w:top w:w="80" w:type="dxa"/>
              <w:left w:w="120" w:type="dxa"/>
              <w:bottom w:w="80" w:type="dxa"/>
              <w:right w:w="120" w:type="dxa"/>
            </w:tcMar>
          </w:tcPr>
          <w:p w14:paraId="10457016">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SessionAgent</w:t>
            </w:r>
          </w:p>
        </w:tc>
        <w:tc>
          <w:tcPr>
            <w:tcW w:w="3321" w:type="dxa"/>
            <w:shd w:val="clear" w:color="auto" w:fill="FFFFFF"/>
            <w:tcMar>
              <w:top w:w="80" w:type="dxa"/>
              <w:left w:w="120" w:type="dxa"/>
              <w:bottom w:w="80" w:type="dxa"/>
              <w:right w:w="120" w:type="dxa"/>
            </w:tcMar>
          </w:tcPr>
          <w:p w14:paraId="63E74BF5">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会话与WorkItem</w:t>
            </w:r>
          </w:p>
        </w:tc>
        <w:tc>
          <w:tcPr>
            <w:tcW w:w="2919" w:type="dxa"/>
            <w:shd w:val="clear" w:color="auto" w:fill="FFFFFF"/>
            <w:tcMar>
              <w:top w:w="80" w:type="dxa"/>
              <w:left w:w="120" w:type="dxa"/>
              <w:bottom w:w="80" w:type="dxa"/>
              <w:right w:w="120" w:type="dxa"/>
            </w:tcMar>
          </w:tcPr>
          <w:p w14:paraId="33AC6DB2">
            <w:pPr>
              <w:keepNext w:val="0"/>
              <w:keepLines w:val="0"/>
              <w:pageBreakBefore w:val="0"/>
              <w:widowControl/>
              <w:kinsoku/>
              <w:wordWrap/>
              <w:topLinePunct w:val="0"/>
              <w:autoSpaceDE/>
              <w:autoSpaceDN/>
              <w:bidi w:val="0"/>
              <w:adjustRightInd/>
              <w:snapToGrid/>
              <w:spacing w:after="0" w:line="240" w:lineRule="auto"/>
              <w:jc w:val="left"/>
              <w:textAlignment w:val="auto"/>
              <w:rPr>
                <w:rFonts w:hint="eastAsia" w:ascii="宋体" w:hAnsi="宋体" w:eastAsia="宋体" w:cs="宋体"/>
                <w:sz w:val="21"/>
                <w:szCs w:val="21"/>
              </w:rPr>
            </w:pPr>
            <w:r>
              <w:rPr>
                <w:rFonts w:hint="eastAsia" w:ascii="宋体" w:hAnsi="宋体" w:eastAsia="宋体" w:cs="宋体"/>
                <w:b w:val="0"/>
                <w:i w:val="0"/>
                <w:sz w:val="21"/>
                <w:szCs w:val="21"/>
              </w:rPr>
              <w:t>任务组织与拆解</w:t>
            </w:r>
          </w:p>
        </w:tc>
      </w:tr>
      <w:tr w14:paraId="66D80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shd w:val="clear" w:color="auto" w:fill="FFFFFF"/>
            <w:tcMar>
              <w:top w:w="80" w:type="dxa"/>
              <w:left w:w="120" w:type="dxa"/>
              <w:bottom w:w="80" w:type="dxa"/>
              <w:right w:w="120" w:type="dxa"/>
            </w:tcMar>
          </w:tcPr>
          <w:p w14:paraId="79132F9C">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WorkItemAgent</w:t>
            </w:r>
          </w:p>
        </w:tc>
        <w:tc>
          <w:tcPr>
            <w:tcW w:w="3321" w:type="dxa"/>
            <w:shd w:val="clear" w:color="auto" w:fill="FFFFFF"/>
            <w:tcMar>
              <w:top w:w="80" w:type="dxa"/>
              <w:left w:w="120" w:type="dxa"/>
              <w:bottom w:w="80" w:type="dxa"/>
              <w:right w:w="120" w:type="dxa"/>
            </w:tcMar>
          </w:tcPr>
          <w:p w14:paraId="12F9ECF0">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具体工作项</w:t>
            </w:r>
          </w:p>
        </w:tc>
        <w:tc>
          <w:tcPr>
            <w:tcW w:w="2919" w:type="dxa"/>
            <w:shd w:val="clear" w:color="auto" w:fill="FFFFFF"/>
            <w:tcMar>
              <w:top w:w="80" w:type="dxa"/>
              <w:left w:w="120" w:type="dxa"/>
              <w:bottom w:w="80" w:type="dxa"/>
              <w:right w:w="120" w:type="dxa"/>
            </w:tcMar>
          </w:tcPr>
          <w:p w14:paraId="7DF5D481">
            <w:pPr>
              <w:keepNext w:val="0"/>
              <w:keepLines w:val="0"/>
              <w:pageBreakBefore w:val="0"/>
              <w:widowControl/>
              <w:kinsoku/>
              <w:wordWrap/>
              <w:topLinePunct w:val="0"/>
              <w:autoSpaceDE/>
              <w:autoSpaceDN/>
              <w:bidi w:val="0"/>
              <w:adjustRightInd/>
              <w:snapToGrid/>
              <w:spacing w:after="0" w:line="240" w:lineRule="auto"/>
              <w:jc w:val="left"/>
              <w:textAlignment w:val="auto"/>
              <w:rPr>
                <w:rFonts w:hint="eastAsia" w:ascii="宋体" w:hAnsi="宋体" w:eastAsia="宋体" w:cs="宋体"/>
                <w:sz w:val="21"/>
                <w:szCs w:val="21"/>
              </w:rPr>
            </w:pPr>
            <w:r>
              <w:rPr>
                <w:rFonts w:hint="eastAsia" w:ascii="宋体" w:hAnsi="宋体" w:eastAsia="宋体" w:cs="宋体"/>
                <w:b w:val="0"/>
                <w:i w:val="0"/>
                <w:sz w:val="21"/>
                <w:szCs w:val="21"/>
              </w:rPr>
              <w:t>能力调用与业务执行</w:t>
            </w:r>
          </w:p>
        </w:tc>
      </w:tr>
      <w:tr w14:paraId="5C03D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shd w:val="clear" w:color="auto" w:fill="FFFFFF"/>
            <w:tcMar>
              <w:top w:w="80" w:type="dxa"/>
              <w:left w:w="120" w:type="dxa"/>
              <w:bottom w:w="80" w:type="dxa"/>
              <w:right w:w="120" w:type="dxa"/>
            </w:tcMar>
          </w:tcPr>
          <w:p w14:paraId="25BD0D1C">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GuardianAgent</w:t>
            </w:r>
          </w:p>
        </w:tc>
        <w:tc>
          <w:tcPr>
            <w:tcW w:w="3321" w:type="dxa"/>
            <w:shd w:val="clear" w:color="auto" w:fill="FFFFFF"/>
            <w:tcMar>
              <w:top w:w="80" w:type="dxa"/>
              <w:left w:w="120" w:type="dxa"/>
              <w:bottom w:w="80" w:type="dxa"/>
              <w:right w:w="120" w:type="dxa"/>
            </w:tcMar>
          </w:tcPr>
          <w:p w14:paraId="0259F6A2">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权限、规则、结果约束</w:t>
            </w:r>
          </w:p>
        </w:tc>
        <w:tc>
          <w:tcPr>
            <w:tcW w:w="2919" w:type="dxa"/>
            <w:shd w:val="clear" w:color="auto" w:fill="FFFFFF"/>
            <w:tcMar>
              <w:top w:w="80" w:type="dxa"/>
              <w:left w:w="120" w:type="dxa"/>
              <w:bottom w:w="80" w:type="dxa"/>
              <w:right w:w="120" w:type="dxa"/>
            </w:tcMar>
          </w:tcPr>
          <w:p w14:paraId="3C9D09D8">
            <w:pPr>
              <w:keepNext w:val="0"/>
              <w:keepLines w:val="0"/>
              <w:pageBreakBefore w:val="0"/>
              <w:widowControl/>
              <w:kinsoku/>
              <w:wordWrap/>
              <w:topLinePunct w:val="0"/>
              <w:autoSpaceDE/>
              <w:autoSpaceDN/>
              <w:bidi w:val="0"/>
              <w:adjustRightInd/>
              <w:snapToGrid/>
              <w:spacing w:after="0" w:line="240" w:lineRule="auto"/>
              <w:jc w:val="left"/>
              <w:textAlignment w:val="auto"/>
              <w:rPr>
                <w:rFonts w:hint="eastAsia" w:ascii="宋体" w:hAnsi="宋体" w:eastAsia="宋体" w:cs="宋体"/>
                <w:sz w:val="21"/>
                <w:szCs w:val="21"/>
              </w:rPr>
            </w:pPr>
            <w:r>
              <w:rPr>
                <w:rFonts w:hint="eastAsia" w:ascii="宋体" w:hAnsi="宋体" w:eastAsia="宋体" w:cs="宋体"/>
                <w:b w:val="0"/>
                <w:i w:val="0"/>
                <w:sz w:val="21"/>
                <w:szCs w:val="21"/>
              </w:rPr>
              <w:t>二次核验与人工确认控制</w:t>
            </w:r>
          </w:p>
        </w:tc>
      </w:tr>
    </w:tbl>
    <w:p w14:paraId="48AFC8CA">
      <w:pPr>
        <w:keepNext w:val="0"/>
        <w:keepLines w:val="0"/>
        <w:pageBreakBefore w:val="0"/>
        <w:widowControl/>
        <w:kinsoku/>
        <w:wordWrap/>
        <w:topLinePunct w:val="0"/>
        <w:autoSpaceDE/>
        <w:autoSpaceDN/>
        <w:bidi w:val="0"/>
        <w:adjustRightInd/>
        <w:snapToGrid/>
        <w:spacing w:after="0" w:line="300" w:lineRule="auto"/>
        <w:jc w:val="left"/>
        <w:textAlignment w:val="auto"/>
        <w:rPr>
          <w:rFonts w:hint="eastAsia" w:ascii="宋体" w:hAnsi="宋体" w:eastAsia="宋体" w:cs="宋体"/>
          <w:sz w:val="21"/>
          <w:szCs w:val="21"/>
        </w:rPr>
      </w:pPr>
    </w:p>
    <w:p w14:paraId="529F0D4A">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SessionAgent负责理解用户输入并将复合请求拆分为一个或多个WorkItem；WorkItemAgent围绕单一任务读取三书、发现能力并执行；GuardianAgent在关键边界进行权限、规则和结果约束的二次核验。</w:t>
      </w:r>
    </w:p>
    <w:p w14:paraId="3284F41B">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4.6 权限与人工责任边界</w:t>
      </w:r>
    </w:p>
    <w:p w14:paraId="6F343DA0">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sz w:val="21"/>
          <w:szCs w:val="21"/>
        </w:rPr>
      </w:pPr>
      <w:r>
        <w:rPr>
          <w:rFonts w:hint="eastAsia" w:ascii="宋体" w:hAnsi="宋体" w:eastAsia="宋体" w:cs="宋体"/>
          <w:b w:val="0"/>
          <w:i w:val="0"/>
          <w:sz w:val="21"/>
          <w:szCs w:val="21"/>
        </w:rPr>
        <w:t>权限控制贯穿任务规划、资源访问和受控执行。权限不只是“允许/拒绝”，还可以表现为信息分级、脱敏输出和合法协作导航。当用户无权直接访问目标信息时，系统可在不泄露受限内容的前提下提供合法获取路径。对于责任认定、关键状态确认、规则升级或流程变更，AI仅提供信息支持或参考建议，由相应人员完成最终确认。由此形成：</w:t>
      </w:r>
    </w:p>
    <w:p w14:paraId="39B2061D">
      <w:pPr>
        <w:keepNext w:val="0"/>
        <w:keepLines w:val="0"/>
        <w:pageBreakBefore w:val="0"/>
        <w:widowControl/>
        <w:kinsoku/>
        <w:wordWrap/>
        <w:topLinePunct w:val="0"/>
        <w:autoSpaceDE/>
        <w:autoSpaceDN/>
        <w:bidi w:val="0"/>
        <w:adjustRightInd/>
        <w:snapToGrid/>
        <w:spacing w:after="0" w:line="300" w:lineRule="auto"/>
        <w:ind w:left="800"/>
        <w:jc w:val="left"/>
        <w:textAlignment w:val="auto"/>
        <w:rPr>
          <w:rFonts w:hint="eastAsia" w:ascii="宋体" w:hAnsi="宋体" w:eastAsia="宋体" w:cs="宋体"/>
          <w:sz w:val="21"/>
          <w:szCs w:val="21"/>
        </w:rPr>
      </w:pPr>
      <w:r>
        <w:rPr>
          <w:rFonts w:hint="eastAsia" w:ascii="宋体" w:hAnsi="宋体" w:eastAsia="宋体" w:cs="宋体"/>
          <w:b/>
          <w:i w:val="0"/>
          <w:sz w:val="21"/>
          <w:szCs w:val="21"/>
        </w:rPr>
        <w:t xml:space="preserve">AI：  </w:t>
      </w:r>
      <w:r>
        <w:rPr>
          <w:rFonts w:hint="eastAsia" w:ascii="宋体" w:hAnsi="宋体" w:eastAsia="宋体" w:cs="宋体"/>
          <w:b w:val="0"/>
          <w:i w:val="0"/>
          <w:sz w:val="21"/>
          <w:szCs w:val="21"/>
        </w:rPr>
        <w:t>理解、检索、关联、提示、受控执行</w:t>
      </w:r>
    </w:p>
    <w:p w14:paraId="76107810">
      <w:pPr>
        <w:keepNext w:val="0"/>
        <w:keepLines w:val="0"/>
        <w:pageBreakBefore w:val="0"/>
        <w:widowControl/>
        <w:kinsoku/>
        <w:wordWrap/>
        <w:topLinePunct w:val="0"/>
        <w:autoSpaceDE/>
        <w:autoSpaceDN/>
        <w:bidi w:val="0"/>
        <w:adjustRightInd/>
        <w:snapToGrid/>
        <w:spacing w:after="0" w:line="300" w:lineRule="auto"/>
        <w:ind w:left="800"/>
        <w:jc w:val="left"/>
        <w:textAlignment w:val="auto"/>
        <w:rPr>
          <w:rFonts w:hint="eastAsia" w:ascii="宋体" w:hAnsi="宋体" w:eastAsia="宋体" w:cs="宋体"/>
          <w:sz w:val="21"/>
          <w:szCs w:val="21"/>
        </w:rPr>
      </w:pPr>
      <w:r>
        <w:rPr>
          <w:rFonts w:hint="eastAsia" w:ascii="宋体" w:hAnsi="宋体" w:eastAsia="宋体" w:cs="宋体"/>
          <w:b/>
          <w:i w:val="0"/>
          <w:sz w:val="21"/>
          <w:szCs w:val="21"/>
        </w:rPr>
        <w:t xml:space="preserve">人：  </w:t>
      </w:r>
      <w:r>
        <w:rPr>
          <w:rFonts w:hint="eastAsia" w:ascii="宋体" w:hAnsi="宋体" w:eastAsia="宋体" w:cs="宋体"/>
          <w:b w:val="0"/>
          <w:i w:val="0"/>
          <w:sz w:val="21"/>
          <w:szCs w:val="21"/>
        </w:rPr>
        <w:t>规则定义、权限授权、关键确认、责任承担、流程升级</w:t>
      </w:r>
    </w:p>
    <w:p w14:paraId="7AFE6484">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4.7 信息协同运行闭环</w:t>
      </w:r>
    </w:p>
    <w:p w14:paraId="32FE8374">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本文框架的关键并非一次性完成某项任务，而是使项目团队的日常业务活动持续转化为公共认知，并被后续任务再次利用。</w:t>
      </w:r>
    </w:p>
    <w:p w14:paraId="6E015B57">
      <w:pPr>
        <w:keepNext w:val="0"/>
        <w:keepLines w:val="0"/>
        <w:pageBreakBefore w:val="0"/>
        <w:widowControl/>
        <w:kinsoku/>
        <w:wordWrap/>
        <w:topLinePunct w:val="0"/>
        <w:autoSpaceDE/>
        <w:autoSpaceDN/>
        <w:bidi w:val="0"/>
        <w:adjustRightInd/>
        <w:snapToGrid/>
        <w:spacing w:after="0" w:line="300" w:lineRule="auto"/>
        <w:ind w:firstLine="420"/>
        <w:jc w:val="center"/>
        <w:textAlignment w:val="auto"/>
        <w:rPr>
          <w:rFonts w:hint="eastAsia" w:ascii="宋体" w:hAnsi="宋体" w:eastAsia="宋体" w:cs="宋体"/>
          <w:b w:val="0"/>
          <w:i w:val="0"/>
          <w:sz w:val="21"/>
          <w:szCs w:val="21"/>
          <w:lang w:eastAsia="zh-CN"/>
        </w:rPr>
      </w:pPr>
      <w:r>
        <w:rPr>
          <w:rFonts w:hint="eastAsia" w:ascii="宋体" w:hAnsi="宋体" w:eastAsia="宋体" w:cs="宋体"/>
          <w:b w:val="0"/>
          <w:i w:val="0"/>
          <w:sz w:val="21"/>
          <w:szCs w:val="21"/>
          <w:lang w:eastAsia="zh-CN"/>
        </w:rPr>
        <w:drawing>
          <wp:inline distT="0" distB="0" distL="114300" distR="114300">
            <wp:extent cx="3974465" cy="1945640"/>
            <wp:effectExtent l="0" t="0" r="6985" b="16510"/>
            <wp:docPr id="3" name="图片 3" descr="图3 信息协同运行闭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3 信息协同运行闭环"/>
                    <pic:cNvPicPr>
                      <a:picLocks noChangeAspect="1"/>
                    </pic:cNvPicPr>
                  </pic:nvPicPr>
                  <pic:blipFill>
                    <a:blip r:embed="rId8"/>
                    <a:stretch>
                      <a:fillRect/>
                    </a:stretch>
                  </pic:blipFill>
                  <pic:spPr>
                    <a:xfrm>
                      <a:off x="0" y="0"/>
                      <a:ext cx="3974465" cy="1945640"/>
                    </a:xfrm>
                    <a:prstGeom prst="rect">
                      <a:avLst/>
                    </a:prstGeom>
                  </pic:spPr>
                </pic:pic>
              </a:graphicData>
            </a:graphic>
          </wp:inline>
        </w:drawing>
      </w:r>
    </w:p>
    <w:p w14:paraId="1B23D4C1">
      <w:pPr>
        <w:keepNext w:val="0"/>
        <w:keepLines w:val="0"/>
        <w:pageBreakBefore w:val="0"/>
        <w:widowControl/>
        <w:kinsoku/>
        <w:wordWrap/>
        <w:topLinePunct w:val="0"/>
        <w:autoSpaceDE/>
        <w:autoSpaceDN/>
        <w:bidi w:val="0"/>
        <w:adjustRightInd/>
        <w:snapToGrid/>
        <w:spacing w:after="0" w:line="300" w:lineRule="auto"/>
        <w:ind w:firstLine="420"/>
        <w:jc w:val="center"/>
        <w:textAlignment w:val="auto"/>
        <w:rPr>
          <w:rFonts w:hint="eastAsia" w:ascii="宋体" w:hAnsi="宋体" w:eastAsia="宋体" w:cs="宋体"/>
          <w:b/>
          <w:bCs/>
          <w:i w:val="0"/>
          <w:sz w:val="21"/>
          <w:szCs w:val="21"/>
        </w:rPr>
      </w:pPr>
      <w:r>
        <w:rPr>
          <w:rFonts w:hint="eastAsia" w:ascii="宋体" w:hAnsi="宋体" w:eastAsia="宋体" w:cs="宋体"/>
          <w:b/>
          <w:bCs/>
          <w:i w:val="0"/>
          <w:sz w:val="21"/>
          <w:szCs w:val="21"/>
        </w:rPr>
        <w:t>图3 三书驱动的信息协同运行闭环</w:t>
      </w:r>
    </w:p>
    <w:p w14:paraId="264E821D">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这一闭环体现了三书在团队级Agent Harness中的作用：项目过程信息构成持续更新的热记忆，规则和能力作为与热记忆关联的两个认知维度，共同形成Agent运行所需的信息交汇与架构地图。</w:t>
      </w:r>
    </w:p>
    <w:p w14:paraId="55F9D94B">
      <w:pPr>
        <w:keepNext w:val="0"/>
        <w:keepLines w:val="0"/>
        <w:pageBreakBefore w:val="0"/>
        <w:widowControl/>
        <w:kinsoku/>
        <w:wordWrap/>
        <w:overflowPunct/>
        <w:topLinePunct w:val="0"/>
        <w:autoSpaceDE/>
        <w:autoSpaceDN/>
        <w:bidi w:val="0"/>
        <w:adjustRightInd/>
        <w:snapToGrid/>
        <w:spacing w:before="289" w:beforeLines="80" w:after="145" w:afterLines="40" w:line="300" w:lineRule="auto"/>
        <w:ind w:firstLine="420"/>
        <w:jc w:val="left"/>
        <w:textAlignment w:val="auto"/>
        <w:rPr>
          <w:rFonts w:hint="eastAsia" w:ascii="宋体" w:hAnsi="宋体" w:eastAsia="宋体" w:cs="宋体"/>
          <w:b/>
          <w:bCs/>
          <w:i w:val="0"/>
          <w:sz w:val="21"/>
          <w:szCs w:val="21"/>
        </w:rPr>
      </w:pPr>
      <w:r>
        <w:rPr>
          <w:rFonts w:hint="eastAsia" w:ascii="宋体" w:hAnsi="宋体" w:eastAsia="宋体" w:cs="宋体"/>
          <w:b/>
          <w:bCs/>
          <w:i w:val="0"/>
          <w:sz w:val="21"/>
          <w:szCs w:val="21"/>
        </w:rPr>
        <w:t>5 框架应用说明</w:t>
      </w:r>
    </w:p>
    <w:p w14:paraId="15AAA99C">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本文不以应用案例进行统计意义上的性能验证，而以实际业务实例说明所提出框架的工程落点。以下两个实例分别对应预设业务流程和非预设复合信息任务。</w:t>
      </w:r>
    </w:p>
    <w:p w14:paraId="65E7E985">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5.1 预设业务任务应用</w:t>
      </w:r>
    </w:p>
    <w:p w14:paraId="4543E5BF">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在苏州某商品住宅项目景观工程施工阶段，B标段园路铺装节点完成后，项目主管通过IM向Emily提出验收咨询。SessionAgent将请求拆分为验收流程匹配和节点成果定位两个WorkItem；WorkItemAgent通过系统能力书发现验收Skill，并从项目态势书和组织规则书获取状态、成果及标准；GuardianAgent进行权限、规则和输出边界二次核验。现场发现质量问题后，系统继续拆分规范比对、合同查询、历史经验和材料溯源任务，并在人工确认后执行整改通知和节点变更。</w:t>
      </w:r>
    </w:p>
    <w:p w14:paraId="43828E96">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上述两个实例分别对应两类典型任务：园路铺装验收属于预设业务流程，软装品质追溯属于无专属SOP的非预设复合信息任务。前者主要体现三书、Skill、FSM和三Agent协同，后者主要体现三书、既有能力组合及Guardian边界控制。</w:t>
      </w:r>
    </w:p>
    <w:p w14:paraId="26ABD440">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该实例说明，框架可以支持从自然语言业务请求出发，经任务拆解、认知获取、能力发现和责任核验，形成受控的业务执行链。</w:t>
      </w:r>
    </w:p>
    <w:p w14:paraId="514BC6B3">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5.2 非预设跨部门信息任务应用</w:t>
      </w:r>
    </w:p>
    <w:p w14:paraId="59052EFF">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在另一个已竣工的商品住宅项目中，集团景观负责人希望追溯景观软装品质偏差。由于原项目主管已离岗，任务也没有预设专属SOP。系统根据权限完成跨源查询后，由SessionAgent拆分不同阶段的检索WorkItem，WorkItemAgent组合RAG、DB、事件日志和历史经验，从多类信息载体中还原招标、交底、采购、进场和验收5个阶段，形成跨5个部门、8类信息载体/记录来源的事件演进链。过程中识别出成本信息壁垒、合约界面不清和程序签认缺位等信息流转缺口；涉密信息采用权限控制和协作导航，非预设任务仅组合已有能力。该实例说明框架可支持非预设复合信息任务和多源项目认知。</w:t>
      </w:r>
    </w:p>
    <w:p w14:paraId="27773BF2">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5.3 应用边界</w:t>
      </w:r>
    </w:p>
    <w:p w14:paraId="7919618E">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两个实例用于说明框架的工程落点，并不构成统计意义上的性能验证。框架运行依赖项目数据、可检索规则与资料、可描述业务能力及人员权限等数字化基础；同时，跨文档、跨载体深层关联仍主要依赖RAG与DB，LLM状态证据解析也存在不确定性，因此需要通过人工定义状态空间、规则和责任边界限制Agent自由度。</w:t>
      </w:r>
    </w:p>
    <w:p w14:paraId="17CB446D">
      <w:pPr>
        <w:keepNext w:val="0"/>
        <w:keepLines w:val="0"/>
        <w:pageBreakBefore w:val="0"/>
        <w:widowControl/>
        <w:kinsoku/>
        <w:wordWrap/>
        <w:overflowPunct/>
        <w:topLinePunct w:val="0"/>
        <w:autoSpaceDE/>
        <w:autoSpaceDN/>
        <w:bidi w:val="0"/>
        <w:adjustRightInd/>
        <w:snapToGrid/>
        <w:spacing w:before="289" w:beforeLines="80" w:after="145" w:afterLines="40" w:line="300" w:lineRule="auto"/>
        <w:jc w:val="left"/>
        <w:textAlignment w:val="auto"/>
        <w:rPr>
          <w:rFonts w:hint="eastAsia" w:ascii="宋体" w:hAnsi="宋体" w:eastAsia="宋体" w:cs="宋体"/>
          <w:b/>
          <w:i w:val="0"/>
          <w:sz w:val="21"/>
          <w:szCs w:val="21"/>
        </w:rPr>
      </w:pPr>
      <w:r>
        <w:rPr>
          <w:rFonts w:hint="eastAsia" w:ascii="宋体" w:hAnsi="宋体" w:eastAsia="宋体" w:cs="宋体"/>
          <w:b/>
          <w:i w:val="0"/>
          <w:sz w:val="21"/>
          <w:szCs w:val="21"/>
        </w:rPr>
        <w:t>6 结论</w:t>
      </w:r>
    </w:p>
    <w:p w14:paraId="361EFB62">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sz w:val="21"/>
          <w:szCs w:val="21"/>
        </w:rPr>
      </w:pPr>
      <w:r>
        <w:rPr>
          <w:rFonts w:hint="eastAsia" w:ascii="宋体" w:hAnsi="宋体" w:eastAsia="宋体" w:cs="宋体"/>
          <w:b w:val="0"/>
          <w:i w:val="0"/>
          <w:sz w:val="21"/>
          <w:szCs w:val="21"/>
        </w:rPr>
        <w:t>本文针对地产项目团队中过程信息分散、多源信息难以关联、业务知识难以持续复用以及AI与组织责任边界难以衔接等问题，从地产项目管理结构出发，提出了领域管理结构驱动的AI Agent框架设计方法。该方法将项目状态、过程信息、组织规则、业务流程、系统能力、复合任务和组织权责分别映射为状态空间、三书认知对象、Skill能力单元、WorkItem和职责核验机制，形成“认知—感知—执行—核验”的信息协同型Agent框架。</w:t>
      </w:r>
    </w:p>
    <w:p w14:paraId="3D3DAB39">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sz w:val="21"/>
          <w:szCs w:val="21"/>
        </w:rPr>
      </w:pPr>
      <w:r>
        <w:rPr>
          <w:rFonts w:hint="eastAsia" w:ascii="宋体" w:hAnsi="宋体" w:eastAsia="宋体" w:cs="宋体"/>
          <w:b w:val="0"/>
          <w:i w:val="0"/>
          <w:sz w:val="21"/>
          <w:szCs w:val="21"/>
        </w:rPr>
        <w:t>框架的核心不是简单增加行业知识，而是将地产项目管理结构本身转化为Agent的认知、状态、能力和责任边界。两个实际业务实例说明，在本文所涉及的业务场景下，该框架能够支持预设业务流程及非预设复合信息任务，并在受控边界内持续组织团队公共信息。</w:t>
      </w:r>
    </w:p>
    <w:p w14:paraId="41991607">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sz w:val="21"/>
          <w:szCs w:val="21"/>
        </w:rPr>
      </w:pPr>
      <w:r>
        <w:rPr>
          <w:rFonts w:hint="eastAsia" w:ascii="宋体" w:hAnsi="宋体" w:eastAsia="宋体" w:cs="宋体"/>
          <w:b w:val="0"/>
          <w:i w:val="0"/>
          <w:sz w:val="21"/>
          <w:szCs w:val="21"/>
        </w:rPr>
        <w:t>本文为传统行业由管理结构反向驱动Agent架构设计提供了一条工程</w:t>
      </w:r>
      <w:r>
        <w:rPr>
          <w:rFonts w:hint="eastAsia" w:ascii="宋体" w:hAnsi="宋体" w:eastAsia="宋体" w:cs="宋体"/>
          <w:b w:val="0"/>
          <w:i w:val="0"/>
          <w:sz w:val="21"/>
          <w:szCs w:val="21"/>
          <w:lang w:val="en-US" w:eastAsia="zh-CN"/>
        </w:rPr>
        <w:t>实践参考</w:t>
      </w:r>
      <w:r>
        <w:rPr>
          <w:rFonts w:hint="eastAsia" w:ascii="宋体" w:hAnsi="宋体" w:eastAsia="宋体" w:cs="宋体"/>
          <w:b w:val="0"/>
          <w:i w:val="0"/>
          <w:sz w:val="21"/>
          <w:szCs w:val="21"/>
        </w:rPr>
        <w:t>，后续可进一步研究事件关系网络、Wiki式知识网络与RAG/DB双路径召回的结合。</w:t>
      </w:r>
    </w:p>
    <w:p w14:paraId="6E190A45">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sz w:val="21"/>
          <w:szCs w:val="21"/>
        </w:rPr>
      </w:pPr>
      <w:r>
        <w:rPr>
          <w:rFonts w:hint="eastAsia" w:ascii="宋体" w:hAnsi="宋体" w:eastAsia="宋体" w:cs="宋体"/>
          <w:b w:val="0"/>
          <w:i w:val="0"/>
          <w:sz w:val="21"/>
          <w:szCs w:val="21"/>
        </w:rPr>
        <w:t>进一步展望，本文框架的定位是AI接入地产行业的平台：在既有框架基础上，通过插件模式可将BIM、视觉多模态等各类单项业务功能便捷地接入系统，经系统能力书统一注册后供Agent按需发现与调用，使团队Agent的业务能力随插件接入持续丰富。这种扩展性使框架能够从信息协同逐步延伸至更多专业应用场景，是框架未来潜力的重要来源。</w:t>
      </w:r>
    </w:p>
    <w:p w14:paraId="6ADD6547">
      <w:pPr>
        <w:keepNext w:val="0"/>
        <w:keepLines w:val="0"/>
        <w:pageBreakBefore w:val="0"/>
        <w:widowControl/>
        <w:kinsoku/>
        <w:wordWrap/>
        <w:topLinePunct w:val="0"/>
        <w:autoSpaceDE/>
        <w:autoSpaceDN/>
        <w:bidi w:val="0"/>
        <w:adjustRightInd/>
        <w:snapToGrid/>
        <w:spacing w:after="0" w:line="300" w:lineRule="auto"/>
        <w:jc w:val="left"/>
        <w:textAlignment w:val="auto"/>
        <w:rPr>
          <w:rFonts w:hint="eastAsia" w:ascii="宋体" w:hAnsi="宋体" w:eastAsia="宋体" w:cs="宋体"/>
          <w:sz w:val="21"/>
          <w:szCs w:val="21"/>
        </w:rPr>
      </w:pPr>
    </w:p>
    <w:p w14:paraId="4C71EA2E">
      <w:pPr>
        <w:keepNext w:val="0"/>
        <w:keepLines w:val="0"/>
        <w:pageBreakBefore w:val="0"/>
        <w:widowControl/>
        <w:kinsoku/>
        <w:wordWrap/>
        <w:topLinePunct w:val="0"/>
        <w:autoSpaceDE/>
        <w:autoSpaceDN/>
        <w:bidi w:val="0"/>
        <w:adjustRightInd/>
        <w:snapToGrid/>
        <w:spacing w:after="0" w:line="300" w:lineRule="auto"/>
        <w:jc w:val="left"/>
        <w:textAlignment w:val="auto"/>
        <w:rPr>
          <w:rFonts w:hint="eastAsia" w:ascii="宋体" w:hAnsi="宋体" w:eastAsia="宋体" w:cs="宋体"/>
          <w:sz w:val="21"/>
          <w:szCs w:val="21"/>
        </w:rPr>
      </w:pPr>
      <w:r>
        <w:rPr>
          <w:rFonts w:hint="eastAsia" w:ascii="宋体" w:hAnsi="宋体" w:eastAsia="宋体" w:cs="宋体"/>
          <w:b/>
          <w:i w:val="0"/>
          <w:sz w:val="21"/>
          <w:szCs w:val="21"/>
        </w:rPr>
        <w:t>收稿日期：</w:t>
      </w:r>
      <w:r>
        <w:rPr>
          <w:rFonts w:hint="eastAsia" w:ascii="宋体" w:hAnsi="宋体" w:eastAsia="宋体" w:cs="宋体"/>
          <w:b w:val="0"/>
          <w:i w:val="0"/>
          <w:sz w:val="21"/>
          <w:szCs w:val="21"/>
        </w:rPr>
        <w:t>202X-XX-XX</w:t>
      </w:r>
    </w:p>
    <w:p w14:paraId="334BD858">
      <w:pPr>
        <w:keepNext w:val="0"/>
        <w:keepLines w:val="0"/>
        <w:pageBreakBefore w:val="0"/>
        <w:widowControl/>
        <w:kinsoku/>
        <w:wordWrap/>
        <w:topLinePunct w:val="0"/>
        <w:autoSpaceDE/>
        <w:autoSpaceDN/>
        <w:bidi w:val="0"/>
        <w:adjustRightInd/>
        <w:snapToGrid/>
        <w:spacing w:after="0" w:line="300" w:lineRule="auto"/>
        <w:jc w:val="left"/>
        <w:textAlignment w:val="auto"/>
        <w:rPr>
          <w:rFonts w:hint="eastAsia" w:ascii="宋体" w:hAnsi="宋体" w:eastAsia="宋体" w:cs="宋体"/>
          <w:b w:val="0"/>
          <w:i w:val="0"/>
          <w:sz w:val="21"/>
          <w:szCs w:val="21"/>
        </w:rPr>
      </w:pPr>
      <w:r>
        <w:rPr>
          <w:rFonts w:hint="eastAsia" w:ascii="宋体" w:hAnsi="宋体" w:eastAsia="宋体" w:cs="宋体"/>
          <w:b/>
          <w:i w:val="0"/>
          <w:sz w:val="21"/>
          <w:szCs w:val="21"/>
        </w:rPr>
        <w:t>作者简介：</w:t>
      </w:r>
      <w:r>
        <w:rPr>
          <w:rFonts w:hint="eastAsia" w:ascii="宋体" w:hAnsi="宋体" w:eastAsia="宋体" w:cs="宋体"/>
          <w:b w:val="0"/>
          <w:i w:val="0"/>
          <w:sz w:val="21"/>
          <w:szCs w:val="21"/>
        </w:rPr>
        <w:t>高海涛（1987-），男，本科，研究方向为景观设计工程管理。</w:t>
      </w:r>
    </w:p>
    <w:p w14:paraId="0EFB2A60">
      <w:pPr>
        <w:keepNext w:val="0"/>
        <w:keepLines w:val="0"/>
        <w:pageBreakBefore w:val="0"/>
        <w:widowControl/>
        <w:kinsoku/>
        <w:wordWrap/>
        <w:topLinePunct w:val="0"/>
        <w:autoSpaceDE/>
        <w:autoSpaceDN/>
        <w:bidi w:val="0"/>
        <w:adjustRightInd/>
        <w:snapToGrid/>
        <w:spacing w:after="0" w:line="300" w:lineRule="auto"/>
        <w:jc w:val="left"/>
        <w:textAlignment w:val="auto"/>
        <w:rPr>
          <w:rFonts w:hint="eastAsia" w:ascii="宋体" w:hAnsi="宋体" w:eastAsia="宋体" w:cs="宋体"/>
          <w:b w:val="0"/>
          <w:i w:val="0"/>
          <w:sz w:val="21"/>
          <w:szCs w:val="21"/>
        </w:rPr>
      </w:pPr>
    </w:p>
    <w:p w14:paraId="5FF509E3">
      <w:pPr>
        <w:keepNext w:val="0"/>
        <w:keepLines w:val="0"/>
        <w:pageBreakBefore w:val="0"/>
        <w:widowControl/>
        <w:kinsoku/>
        <w:wordWrap/>
        <w:topLinePunct w:val="0"/>
        <w:autoSpaceDE/>
        <w:autoSpaceDN/>
        <w:bidi w:val="0"/>
        <w:adjustRightInd/>
        <w:snapToGrid/>
        <w:spacing w:after="0" w:line="300" w:lineRule="auto"/>
        <w:jc w:val="left"/>
        <w:textAlignment w:val="auto"/>
        <w:rPr>
          <w:rFonts w:hint="eastAsia" w:ascii="宋体" w:hAnsi="宋体" w:eastAsia="宋体" w:cs="宋体"/>
          <w:sz w:val="21"/>
          <w:szCs w:val="21"/>
          <w:lang w:eastAsia="zh-CN"/>
        </w:rPr>
      </w:pPr>
      <w:r>
        <w:rPr>
          <w:rFonts w:hint="eastAsia" w:ascii="宋体" w:hAnsi="宋体" w:eastAsia="宋体" w:cs="宋体"/>
          <w:b/>
          <w:i w:val="0"/>
          <w:sz w:val="21"/>
          <w:szCs w:val="21"/>
          <w:lang w:eastAsia="zh-CN"/>
        </w:rPr>
        <w:t>【</w:t>
      </w:r>
      <w:r>
        <w:rPr>
          <w:rFonts w:hint="eastAsia" w:ascii="宋体" w:hAnsi="宋体" w:eastAsia="宋体" w:cs="宋体"/>
          <w:b/>
          <w:i w:val="0"/>
          <w:sz w:val="21"/>
          <w:szCs w:val="21"/>
        </w:rPr>
        <w:t>参考文献</w:t>
      </w:r>
      <w:r>
        <w:rPr>
          <w:rFonts w:hint="eastAsia" w:ascii="宋体" w:hAnsi="宋体" w:eastAsia="宋体" w:cs="宋体"/>
          <w:b/>
          <w:i w:val="0"/>
          <w:sz w:val="21"/>
          <w:szCs w:val="21"/>
          <w:lang w:eastAsia="zh-CN"/>
        </w:rPr>
        <w:t>】</w:t>
      </w:r>
    </w:p>
    <w:p w14:paraId="435A1FCC">
      <w:pPr>
        <w:widowControl w:val="0"/>
        <w:spacing w:after="0" w:line="240" w:lineRule="auto"/>
        <w:ind w:left="218" w:leftChars="0" w:hanging="218" w:hangingChars="104"/>
        <w:jc w:val="both"/>
        <w:rPr>
          <w:rFonts w:hint="eastAsia" w:ascii="Times New Roman" w:hAnsi="Times New Roman" w:eastAsia="宋体" w:cs="Times New Roman"/>
          <w:kern w:val="2"/>
          <w:sz w:val="21"/>
          <w:szCs w:val="24"/>
          <w:lang w:eastAsia="zh-CN"/>
        </w:rPr>
      </w:pPr>
      <w:r>
        <w:rPr>
          <w:rFonts w:hint="eastAsia" w:ascii="Times New Roman" w:hAnsi="Times New Roman" w:eastAsia="宋体" w:cs="Times New Roman"/>
          <w:kern w:val="2"/>
          <w:sz w:val="21"/>
          <w:szCs w:val="24"/>
          <w:lang w:eastAsia="zh-CN"/>
        </w:rPr>
        <w:t>[1] WU Y, YUE T, ZHIANG S, et al. StateFlow: Enhancing LLM Task-Solving through State-Driven Workflows[PP/OL]. (2024-03-11). https://arxiv.org/abs/2403.11322.</w:t>
      </w:r>
    </w:p>
    <w:p w14:paraId="48A244DF">
      <w:pPr>
        <w:widowControl w:val="0"/>
        <w:spacing w:after="0" w:line="240" w:lineRule="auto"/>
        <w:ind w:left="218" w:leftChars="0" w:hanging="218" w:hangingChars="104"/>
        <w:jc w:val="both"/>
        <w:rPr>
          <w:rFonts w:hint="eastAsia" w:ascii="Times New Roman" w:hAnsi="Times New Roman" w:eastAsia="宋体" w:cs="Times New Roman"/>
          <w:kern w:val="2"/>
          <w:sz w:val="21"/>
          <w:szCs w:val="24"/>
          <w:lang w:eastAsia="zh-CN"/>
        </w:rPr>
      </w:pPr>
      <w:r>
        <w:rPr>
          <w:rFonts w:hint="eastAsia" w:ascii="Times New Roman" w:hAnsi="Times New Roman" w:eastAsia="宋体" w:cs="Times New Roman"/>
          <w:kern w:val="2"/>
          <w:sz w:val="21"/>
          <w:szCs w:val="24"/>
          <w:lang w:eastAsia="zh-CN"/>
        </w:rPr>
        <w:t>[2] HONG S, ZHUGE M, CHEN J, et al. MetaGPT: Meta Programming for a Multi-Agent Collaborative Framework[C]//Proceedings of the International Conference on Learning Representations (ICLR). Vienna: ICLR, 2024.</w:t>
      </w:r>
    </w:p>
    <w:p w14:paraId="2F68630E">
      <w:pPr>
        <w:widowControl w:val="0"/>
        <w:spacing w:after="0" w:line="240" w:lineRule="auto"/>
        <w:ind w:left="218" w:leftChars="0" w:hanging="218" w:hangingChars="104"/>
        <w:jc w:val="both"/>
        <w:rPr>
          <w:rFonts w:hint="eastAsia" w:ascii="Times New Roman" w:hAnsi="Times New Roman" w:eastAsia="宋体" w:cs="Times New Roman"/>
          <w:kern w:val="2"/>
          <w:sz w:val="21"/>
          <w:szCs w:val="24"/>
          <w:lang w:eastAsia="zh-CN"/>
        </w:rPr>
      </w:pPr>
      <w:r>
        <w:rPr>
          <w:rFonts w:hint="eastAsia" w:ascii="Times New Roman" w:hAnsi="Times New Roman" w:eastAsia="宋体" w:cs="Times New Roman"/>
          <w:kern w:val="2"/>
          <w:sz w:val="21"/>
          <w:szCs w:val="24"/>
          <w:lang w:eastAsia="zh-CN"/>
        </w:rPr>
        <w:t>[3] LEWIS P, PEREZ E, PIKTUS A, et al. Retrieval-Augmented Generation for Knowledge-Intensive NLP Tasks[C]//Advances in Neural Information Processing Systems (NeurIPS). Online: NeurIPS, 2020.</w:t>
      </w:r>
    </w:p>
    <w:p w14:paraId="76667DF9">
      <w:pPr>
        <w:widowControl w:val="0"/>
        <w:spacing w:after="0" w:line="240" w:lineRule="auto"/>
        <w:ind w:left="218" w:leftChars="0" w:hanging="218" w:hangingChars="104"/>
        <w:jc w:val="both"/>
        <w:rPr>
          <w:rFonts w:hint="eastAsia" w:ascii="Times New Roman" w:hAnsi="Times New Roman" w:eastAsia="宋体" w:cs="Times New Roman"/>
          <w:kern w:val="2"/>
          <w:sz w:val="21"/>
          <w:szCs w:val="24"/>
          <w:lang w:eastAsia="zh-CN"/>
        </w:rPr>
      </w:pPr>
      <w:r>
        <w:rPr>
          <w:rFonts w:hint="eastAsia" w:ascii="Times New Roman" w:hAnsi="Times New Roman" w:eastAsia="宋体" w:cs="Times New Roman"/>
          <w:kern w:val="2"/>
          <w:sz w:val="21"/>
          <w:szCs w:val="24"/>
          <w:lang w:eastAsia="zh-CN"/>
        </w:rPr>
        <w:t>[4] ZHANG Z, BO X, MA C, et al. A Survey on the Memory Mechanism of Large Language Model based Agents[J]. ACM Transactions on Information Systems, 2025, 43(6): 155.</w:t>
      </w:r>
    </w:p>
    <w:p w14:paraId="2892944F">
      <w:pPr>
        <w:widowControl w:val="0"/>
        <w:spacing w:after="0" w:line="240" w:lineRule="auto"/>
        <w:ind w:left="218" w:leftChars="0" w:hanging="218" w:hangingChars="104"/>
        <w:jc w:val="both"/>
        <w:rPr>
          <w:rFonts w:hint="eastAsia" w:ascii="Times New Roman" w:hAnsi="Times New Roman" w:eastAsia="宋体" w:cs="Times New Roman"/>
          <w:kern w:val="2"/>
          <w:sz w:val="21"/>
          <w:szCs w:val="24"/>
          <w:lang w:eastAsia="zh-CN"/>
        </w:rPr>
      </w:pPr>
      <w:r>
        <w:rPr>
          <w:rFonts w:hint="eastAsia" w:ascii="Times New Roman" w:hAnsi="Times New Roman" w:eastAsia="宋体" w:cs="Times New Roman"/>
          <w:kern w:val="2"/>
          <w:sz w:val="21"/>
          <w:szCs w:val="24"/>
          <w:lang w:eastAsia="zh-CN"/>
        </w:rPr>
        <w:t>[5] SCHICK T, DWIVEDI-YU J, DESSI R, et al. Toolformer: Language Models Can Teach Themselves to Use Tools[C]//Advances in Neural Information Processing Systems (NeurIPS). Online: NeurIPS, 2023.</w:t>
      </w:r>
    </w:p>
    <w:p w14:paraId="1F751023">
      <w:pPr>
        <w:widowControl w:val="0"/>
        <w:spacing w:after="0" w:line="240" w:lineRule="auto"/>
        <w:ind w:left="218" w:leftChars="0" w:hanging="218" w:hangingChars="104"/>
        <w:jc w:val="both"/>
        <w:rPr>
          <w:rFonts w:hint="eastAsia" w:ascii="Times New Roman" w:hAnsi="Times New Roman" w:eastAsia="宋体" w:cs="Times New Roman"/>
          <w:kern w:val="2"/>
          <w:sz w:val="21"/>
          <w:szCs w:val="24"/>
          <w:lang w:eastAsia="zh-CN"/>
        </w:rPr>
      </w:pPr>
      <w:r>
        <w:rPr>
          <w:rFonts w:hint="eastAsia" w:ascii="Times New Roman" w:hAnsi="Times New Roman" w:eastAsia="宋体" w:cs="Times New Roman"/>
          <w:kern w:val="2"/>
          <w:sz w:val="21"/>
          <w:szCs w:val="24"/>
          <w:lang w:eastAsia="zh-CN"/>
        </w:rPr>
        <w:t>[6] TIWARI A, GUPTA V. A memory fabric for conversational AI agents enabling shared and persistent multiuser memory[J]. Discover Artificial Intelligence, 2026, 6: 239.</w:t>
      </w:r>
    </w:p>
    <w:p w14:paraId="2A8FD643">
      <w:pPr>
        <w:widowControl w:val="0"/>
        <w:spacing w:after="0" w:line="240" w:lineRule="auto"/>
        <w:ind w:left="218" w:leftChars="0" w:hanging="218" w:hangingChars="104"/>
        <w:jc w:val="both"/>
        <w:rPr>
          <w:rFonts w:hint="eastAsia" w:ascii="Times New Roman" w:hAnsi="Times New Roman" w:eastAsia="宋体" w:cs="Times New Roman"/>
          <w:kern w:val="2"/>
          <w:sz w:val="21"/>
          <w:szCs w:val="24"/>
          <w:lang w:eastAsia="zh-CN"/>
        </w:rPr>
      </w:pPr>
      <w:r>
        <w:rPr>
          <w:rFonts w:hint="eastAsia" w:ascii="Times New Roman" w:hAnsi="Times New Roman" w:eastAsia="宋体" w:cs="Times New Roman"/>
          <w:kern w:val="2"/>
          <w:sz w:val="21"/>
          <w:szCs w:val="24"/>
          <w:lang w:eastAsia="zh-CN"/>
        </w:rPr>
        <w:t>[7] NONAKA I, TAKEUCHI H. The Knowledge-Creating Company: How Japanese Companies Create the Dynamics of Innovation[M]. New York: Oxford University Press, 1995.</w:t>
      </w:r>
    </w:p>
    <w:p w14:paraId="65F939FE">
      <w:pPr>
        <w:widowControl w:val="0"/>
        <w:spacing w:after="0" w:line="240" w:lineRule="auto"/>
        <w:ind w:left="218" w:leftChars="0" w:hanging="218" w:hangingChars="104"/>
        <w:jc w:val="both"/>
        <w:rPr>
          <w:rFonts w:hint="eastAsia" w:ascii="Times New Roman" w:hAnsi="Times New Roman" w:eastAsia="宋体" w:cs="Times New Roman"/>
          <w:kern w:val="2"/>
          <w:sz w:val="21"/>
          <w:szCs w:val="24"/>
          <w:lang w:eastAsia="zh-CN"/>
        </w:rPr>
      </w:pPr>
      <w:r>
        <w:rPr>
          <w:rFonts w:hint="eastAsia" w:ascii="Times New Roman" w:hAnsi="Times New Roman" w:eastAsia="宋体" w:cs="Times New Roman"/>
          <w:kern w:val="2"/>
          <w:sz w:val="21"/>
          <w:szCs w:val="24"/>
          <w:lang w:eastAsia="zh-CN"/>
        </w:rPr>
        <w:t>[8] YAN J, HUSTED K, FATH B. Transforming organizational knowledge creation through artificial intelligence: a systematic review of the emergent literature[J]. VINE Journal of Information and Knowledge Management Systems, 2026, 56(2): 522-540.</w:t>
      </w:r>
    </w:p>
    <w:p w14:paraId="6BB817B6">
      <w:pPr>
        <w:widowControl w:val="0"/>
        <w:spacing w:after="0" w:line="240" w:lineRule="auto"/>
        <w:ind w:left="218" w:leftChars="0" w:hanging="218" w:hangingChars="104"/>
        <w:jc w:val="both"/>
        <w:rPr>
          <w:rFonts w:hint="eastAsia" w:ascii="Times New Roman" w:hAnsi="Times New Roman" w:eastAsia="宋体" w:cs="Times New Roman"/>
          <w:kern w:val="2"/>
          <w:sz w:val="21"/>
          <w:szCs w:val="24"/>
          <w:lang w:eastAsia="zh-CN"/>
        </w:rPr>
      </w:pPr>
      <w:r>
        <w:rPr>
          <w:rFonts w:hint="eastAsia" w:ascii="Times New Roman" w:hAnsi="Times New Roman" w:eastAsia="宋体" w:cs="Times New Roman"/>
          <w:kern w:val="2"/>
          <w:sz w:val="21"/>
          <w:szCs w:val="24"/>
          <w:lang w:eastAsia="zh-CN"/>
        </w:rPr>
        <w:t xml:space="preserve">[9] </w:t>
      </w:r>
      <w:r>
        <w:rPr>
          <w:rFonts w:hint="eastAsia" w:ascii="宋体" w:hAnsi="宋体" w:eastAsia="宋体" w:cs="宋体"/>
          <w:kern w:val="2"/>
          <w:sz w:val="21"/>
          <w:szCs w:val="24"/>
          <w:lang w:eastAsia="zh-CN"/>
        </w:rPr>
        <w:t>刘峰, 李文钦, 顾问天, 等. DeepSeek赋能BIM工程管理平台的应用场景探索[J]. 土木建筑工程信息技术, 2025, 17(5): 68-74. DOI: 10.16670/j.cnki.cn11-5823/tu.2025.05.12</w:t>
      </w:r>
    </w:p>
    <w:p w14:paraId="460579E4">
      <w:pPr>
        <w:widowControl w:val="0"/>
        <w:spacing w:after="0" w:line="240" w:lineRule="auto"/>
        <w:ind w:left="218" w:leftChars="0" w:hanging="218" w:hangingChars="104"/>
        <w:jc w:val="both"/>
        <w:rPr>
          <w:rFonts w:hint="eastAsia" w:ascii="Times New Roman" w:hAnsi="Times New Roman" w:eastAsia="宋体" w:cs="Times New Roman"/>
          <w:kern w:val="2"/>
          <w:sz w:val="21"/>
          <w:szCs w:val="24"/>
          <w:lang w:eastAsia="zh-CN"/>
        </w:rPr>
      </w:pPr>
      <w:r>
        <w:rPr>
          <w:rFonts w:hint="eastAsia" w:ascii="Times New Roman" w:hAnsi="Times New Roman" w:eastAsia="宋体" w:cs="Times New Roman"/>
          <w:kern w:val="2"/>
          <w:sz w:val="21"/>
          <w:szCs w:val="24"/>
          <w:lang w:eastAsia="zh-CN"/>
        </w:rPr>
        <w:t>[10] 兰峰, 王露霖, 李彦晓. 从“好房子”到“好工程”：AI技术赋能建筑工程全寿期的逻辑与路径[J]. 工程管理学报, 2025, 39(3): 1-6. DOI: 10.13991/j.cnki.jem.2025.03.001</w:t>
      </w:r>
    </w:p>
    <w:p w14:paraId="2304F527">
      <w:pPr>
        <w:widowControl w:val="0"/>
        <w:spacing w:after="0" w:line="240" w:lineRule="auto"/>
        <w:ind w:left="218" w:leftChars="0" w:hanging="218" w:hangingChars="104"/>
        <w:jc w:val="both"/>
        <w:rPr>
          <w:rFonts w:hint="eastAsia" w:ascii="Times New Roman" w:hAnsi="Times New Roman" w:eastAsia="宋体" w:cs="Times New Roman"/>
          <w:kern w:val="2"/>
          <w:sz w:val="21"/>
          <w:szCs w:val="24"/>
          <w:lang w:eastAsia="zh-CN"/>
        </w:rPr>
      </w:pPr>
      <w:r>
        <w:rPr>
          <w:rFonts w:hint="eastAsia" w:ascii="Times New Roman" w:hAnsi="Times New Roman" w:eastAsia="宋体" w:cs="Times New Roman"/>
          <w:kern w:val="2"/>
          <w:sz w:val="21"/>
          <w:szCs w:val="24"/>
          <w:lang w:eastAsia="zh-CN"/>
        </w:rPr>
        <w:t>[11] LIU N F, LIN K, HEWITT J, et al. Lost in the Middle: How Language Models Use Long Contexts[J]. Transactions of the Association for Computational Linguistics, 2024.</w:t>
      </w:r>
    </w:p>
    <w:p w14:paraId="6A891E53">
      <w:pPr>
        <w:rPr>
          <w:rFonts w:hint="eastAsia" w:ascii="Times New Roman" w:hAnsi="Times New Roman" w:eastAsia="宋体" w:cs="Times New Roman"/>
          <w:kern w:val="2"/>
          <w:sz w:val="21"/>
          <w:szCs w:val="24"/>
          <w:lang w:eastAsia="zh-CN"/>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237351"/>
    <w:rsid w:val="0BA93F62"/>
    <w:rsid w:val="1E474243"/>
    <w:rsid w:val="219345F5"/>
    <w:rsid w:val="2B7D203A"/>
    <w:rsid w:val="3F8A3A45"/>
    <w:rsid w:val="4E4F467B"/>
    <w:rsid w:val="5C6C504A"/>
    <w:rsid w:val="60D913C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1</TotalTime>
  <ScaleCrop>false</ScaleCrop>
  <LinksUpToDate>false</LinksUpToDate>
  <CharactersWithSpaces>0</CharactersWithSpaces>
  <Application>WPS Office_12.8.2.19823_F1E327BC-269C-435d-A152-05C5408002CA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Administrator</cp:lastModifiedBy>
  <dcterms:modified xsi:type="dcterms:W3CDTF">2026-08-26T09:47:48Z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2052-12.8.2.19823</vt:lpwstr>
  </property>
  <property fmtid="{D5CDD505-2E9C-101B-9397-08002B2CF9AE}" pid="3" name="ICV">
    <vt:lpwstr>5FE255FE1B1F49C6970B10CDB1FB7473_12</vt:lpwstr>
  </property>
</Properties>
</file>