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7d99bf309f4d73" /><Relationship Type="http://schemas.openxmlformats.org/package/2006/relationships/metadata/core-properties" Target="/docProps/core.xml" Id="Re0b1f26426c64f49" /><Relationship Type="http://schemas.openxmlformats.org/officeDocument/2006/relationships/extended-properties" Target="/docProps/app.xml" Id="R05985610b9aa45d8" /><Relationship Type="http://schemas.openxmlformats.org/officeDocument/2006/relationships/custom-properties" Target="/docProps/custom.xml" Id="R97a429bae73e4b6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jc w:val="center"/>
      </w:pPr>
      <w:r>
        <w:rPr/>
        <w:t xml:space="preserve">论文表格 —— V3.1 期刊版</w:t>
      </w:r>
    </w:p>
    <w:p w14:paraId="00100002" w14:textId="00100003">
      <w:pPr/>
      <w:r>
        <w:rPr>
          <w:sz w:val="12"/>
        </w:rPr>
        <w:t xml:space="preserve"/>
      </w:r>
    </w:p>
    <w:p w14:paraId="00100004" w14:textId="00100005">
      <w:pPr>
        <w:pStyle w:val="Heading2"/>
        <w:jc w:val="center"/>
      </w:pPr>
      <w:r>
        <w:rPr/>
        <w:t xml:space="preserve">表 1-1 四层痛点 × 四原则映射表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tcPr>
            <w:shd w:val="clear" w:fill="D9E2F3"/>
          </w:tcPr>
          <w:p w14:paraId="00100006" w14:textId="00100007">
            <w:pPr>
              <w:jc w:val="center"/>
              <w:rPr>
                <w:b/>
              </w:rPr>
            </w:pPr>
            <w:r>
              <w:rPr>
                <w:b/>
              </w:rPr>
              <w:t xml:space="preserve">行业痛点</w:t>
            </w:r>
          </w:p>
        </w:tc>
        <w:tc>
          <w:tcPr>
            <w:shd w:val="clear" w:fill="D9E2F3"/>
          </w:tcPr>
          <w:p w14:paraId="00100008" w14:textId="00100009">
            <w:pPr>
              <w:jc w:val="center"/>
              <w:rPr>
                <w:b/>
              </w:rPr>
            </w:pPr>
            <w:r>
              <w:rPr>
                <w:b/>
              </w:rPr>
              <w:t xml:space="preserve">核心问题</w:t>
            </w:r>
          </w:p>
        </w:tc>
        <w:tc>
          <w:tcPr>
            <w:shd w:val="clear" w:fill="D9E2F3"/>
          </w:tcPr>
          <w:p w14:paraId="0010000A" w14:textId="0010000B">
            <w:pPr>
              <w:jc w:val="center"/>
              <w:rPr>
                <w:b/>
              </w:rPr>
            </w:pPr>
            <w:r>
              <w:rPr>
                <w:b/>
              </w:rPr>
              <w:t xml:space="preserve">对应设计原则</w:t>
            </w:r>
          </w:p>
        </w:tc>
        <w:tc>
          <w:tcPr>
            <w:shd w:val="clear" w:fill="D9E2F3"/>
          </w:tcPr>
          <w:p w14:paraId="0010000C" w14:textId="0010000D">
            <w:pPr>
              <w:jc w:val="center"/>
              <w:rPr>
                <w:b/>
              </w:rPr>
            </w:pPr>
            <w:r>
              <w:rPr>
                <w:b/>
              </w:rPr>
              <w:t xml:space="preserve">原则解答逻辑</w:t>
            </w:r>
          </w:p>
        </w:tc>
      </w:tr>
      <w:tr>
        <w:tc>
          <w:tcPr/>
          <w:p w14:paraId="0010000E" w14:textId="0010000F">
            <w:r>
              <w:t xml:space="preserve">经验沉淀与复用失效</w:t>
            </w:r>
          </w:p>
        </w:tc>
        <w:tc>
          <w:tcPr/>
          <w:p w14:paraId="00100010" w14:textId="00100011">
            <w:r>
              <w:t xml:space="preserve">隐性知识流失、存量资料沉睡，组织知识难以传承</w:t>
            </w:r>
          </w:p>
        </w:tc>
        <w:tc>
          <w:tcPr/>
          <w:p w14:paraId="00100012" w14:textId="00100013">
            <w:r>
              <w:t xml:space="preserve">P2 团队级公共智能体</w:t>
            </w:r>
          </w:p>
        </w:tc>
        <w:tc>
          <w:tcPr/>
          <w:p w14:paraId="00100014" w14:textId="00100015">
            <w:r>
              <w:t xml:space="preserve">以团队为知识沉淀主体，全景节点+成果约束结构化构建共享信息背包，知识不随人流失</w:t>
            </w:r>
          </w:p>
        </w:tc>
      </w:tr>
      <w:tr>
        <w:tc>
          <w:tcPr/>
          <w:p w14:paraId="00100016" w14:textId="00100017">
            <w:r>
              <w:t xml:space="preserve">传统协同工具局限</w:t>
            </w:r>
          </w:p>
        </w:tc>
        <w:tc>
          <w:tcPr/>
          <w:p w14:paraId="00100018" w14:textId="00100019">
            <w:r>
              <w:t xml:space="preserve">使用门槛高、建成即固化、一线员工难以贡献信息</w:t>
            </w:r>
          </w:p>
        </w:tc>
        <w:tc>
          <w:tcPr/>
          <w:p w14:paraId="0010001A" w14:textId="0010001B">
            <w:r>
              <w:t xml:space="preserve">P3 自然语言持续嵌入</w:t>
            </w:r>
          </w:p>
        </w:tc>
        <w:tc>
          <w:tcPr/>
          <w:p w14:paraId="0010001C" w14:textId="0010001D">
            <w:r>
              <w:t xml:space="preserve">IM自然语言为入口，把录入门槛降到所有能自然表达的人；采集先于问题存在，日常沟通中持续陪伴式记录</w:t>
            </w:r>
          </w:p>
        </w:tc>
      </w:tr>
      <w:tr>
        <w:tc>
          <w:tcPr/>
          <w:p w14:paraId="0010001E" w14:textId="0010001F">
            <w:r>
              <w:t xml:space="preserve">现有AI应用难以深度融入生产</w:t>
            </w:r>
          </w:p>
        </w:tc>
        <w:tc>
          <w:tcPr/>
          <w:p w14:paraId="00100020" w14:textId="00100021">
            <w:r>
              <w:t xml:space="preserve">单点工具为主、个人训练不经济、通用模型缺垂直适配</w:t>
            </w:r>
          </w:p>
        </w:tc>
        <w:tc>
          <w:tcPr/>
          <w:p w14:paraId="00100022" w14:textId="00100023">
            <w:r>
              <w:t xml:space="preserve">P4 扩展与演进原则</w:t>
            </w:r>
          </w:p>
        </w:tc>
        <w:tc>
          <w:tcPr/>
          <w:p w14:paraId="00100024" w14:textId="00100025">
            <w:r>
              <w:t xml:space="preserve">Skill化SOP为核心工程实现机制，插件化架构灵活扩展；人定义规则、系统执行、人决策升级，受控演进守住边界</w:t>
            </w:r>
          </w:p>
        </w:tc>
      </w:tr>
      <w:tr>
        <w:tc>
          <w:tcPr/>
          <w:p w14:paraId="00100026" w14:textId="00100027">
            <w:r>
              <w:t xml:space="preserve">过程监督与交叉验证缺位</w:t>
            </w:r>
          </w:p>
        </w:tc>
        <w:tc>
          <w:tcPr/>
          <w:p w14:paraId="00100028" w14:textId="00100029">
            <w:r>
              <w:t xml:space="preserve">自报事实、信息差与猜疑链、执行过程存在黑盒空间</w:t>
            </w:r>
          </w:p>
        </w:tc>
        <w:tc>
          <w:tcPr/>
          <w:p w14:paraId="0010002A" w14:textId="0010002B">
            <w:r>
              <w:t xml:space="preserve">P1 工具化辅助定位</w:t>
            </w:r>
          </w:p>
        </w:tc>
        <w:tc>
          <w:tcPr/>
          <w:p w14:paraId="0010002C" w14:textId="0010002D">
            <w:r>
              <w:t xml:space="preserve">AI收集/汇总/建议，权威在人；签名认证而非审批流转；多来源留痕形成可对照记录链，压缩黑盒空间</w:t>
            </w:r>
          </w:p>
        </w:tc>
      </w:tr>
    </w:tbl>
    <w:p w14:paraId="0010002E" w14:textId="0010002F">
      <w:pPr/>
      <w:r>
        <w:rPr>
          <w:i/>
          <w:color w:val="666666"/>
          <w:sz w:val="18"/>
        </w:rPr>
        <w:t xml:space="preserve">注：四层行业痛点与四项设计原则一一对应，从问题推导到解决方案，构成全文论证的逻辑起点。</w:t>
      </w:r>
    </w:p>
    <w:p w14:paraId="00100030" w14:textId="00100031">
      <w:pPr/>
      <w:r>
        <w:rPr>
          <w:sz w:val="24"/>
        </w:rPr>
        <w:t xml:space="preserve"/>
      </w:r>
    </w:p>
    <w:p w14:paraId="00100032" w14:textId="00100033">
      <w:pPr>
        <w:pStyle w:val="Heading2"/>
        <w:jc w:val="center"/>
      </w:pPr>
      <w:r>
        <w:rPr/>
        <w:t xml:space="preserve">表 3-1 问题—约束—原则映射表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tcPr>
            <w:shd w:val="clear" w:fill="D9E2F3"/>
          </w:tcPr>
          <w:p w14:paraId="00100034" w14:textId="00100035">
            <w:pPr>
              <w:jc w:val="center"/>
              <w:rPr>
                <w:b/>
              </w:rPr>
            </w:pPr>
            <w:r>
              <w:rPr>
                <w:b/>
              </w:rPr>
              <w:t xml:space="preserve">结构性问题</w:t>
            </w:r>
          </w:p>
        </w:tc>
        <w:tc>
          <w:tcPr>
            <w:shd w:val="clear" w:fill="D9E2F3"/>
          </w:tcPr>
          <w:p w14:paraId="00100036" w14:textId="00100037">
            <w:pPr>
              <w:jc w:val="center"/>
              <w:rPr>
                <w:b/>
              </w:rPr>
            </w:pPr>
            <w:r>
              <w:rPr>
                <w:b/>
              </w:rPr>
              <w:t xml:space="preserve">设计约束</w:t>
            </w:r>
          </w:p>
        </w:tc>
        <w:tc>
          <w:tcPr>
            <w:shd w:val="clear" w:fill="D9E2F3"/>
          </w:tcPr>
          <w:p w14:paraId="00100038" w14:textId="00100039">
            <w:pPr>
              <w:jc w:val="center"/>
              <w:rPr>
                <w:b/>
              </w:rPr>
            </w:pPr>
            <w:r>
              <w:rPr>
                <w:b/>
              </w:rPr>
              <w:t xml:space="preserve">对应原则</w:t>
            </w:r>
          </w:p>
        </w:tc>
        <w:tc>
          <w:tcPr>
            <w:shd w:val="clear" w:fill="D9E2F3"/>
          </w:tcPr>
          <w:p w14:paraId="0010003A" w14:textId="0010003B">
            <w:pPr>
              <w:jc w:val="center"/>
              <w:rPr>
                <w:b/>
              </w:rPr>
            </w:pPr>
            <w:r>
              <w:rPr>
                <w:b/>
              </w:rPr>
              <w:t xml:space="preserve">原则核心内涵</w:t>
            </w:r>
          </w:p>
        </w:tc>
      </w:tr>
      <w:tr>
        <w:tc>
          <w:tcPr/>
          <w:p w14:paraId="0010003C" w14:textId="0010003D">
            <w:r>
              <w:t xml:space="preserve">AI越权风险 / 责任归属不清</w:t>
            </w:r>
          </w:p>
        </w:tc>
        <w:tc>
          <w:tcPr/>
          <w:p w14:paraId="0010003E" w14:textId="0010003F">
            <w:r>
              <w:t xml:space="preserve">工程项目责任体系不可动摇，AI不能替代人做决策</w:t>
            </w:r>
          </w:p>
        </w:tc>
        <w:tc>
          <w:tcPr/>
          <w:p w14:paraId="00100040" w14:textId="00100041">
            <w:r>
              <w:t xml:space="preserve">P1 工具化辅助定位</w:t>
            </w:r>
          </w:p>
        </w:tc>
        <w:tc>
          <w:tcPr/>
          <w:p w14:paraId="00100042" w14:textId="00100043">
            <w:r>
              <w:t xml:space="preserve">AI收集/汇总/建议，权威在人；签名认证而非审批流转；不拦截流程、不干预决策</w:t>
            </w:r>
          </w:p>
        </w:tc>
      </w:tr>
      <w:tr>
        <w:tc>
          <w:tcPr/>
          <w:p w14:paraId="00100044" w14:textId="00100045">
            <w:r>
              <w:t xml:space="preserve">知识随人流失 / 个人训练不经济</w:t>
            </w:r>
          </w:p>
        </w:tc>
        <w:tc>
          <w:tcPr/>
          <w:p w14:paraId="00100046" w14:textId="00100047">
            <w:r>
              <w:t xml:space="preserve">知识沉淀主体必须是组织而非个人，才能摊薄成本、持续积累</w:t>
            </w:r>
          </w:p>
        </w:tc>
        <w:tc>
          <w:tcPr/>
          <w:p w14:paraId="00100048" w14:textId="00100049">
            <w:r>
              <w:t xml:space="preserve">P2 团队级公共智能体</w:t>
            </w:r>
          </w:p>
        </w:tc>
        <w:tc>
          <w:tcPr/>
          <w:p w14:paraId="0010004A" w14:textId="0010004B">
            <w:r>
              <w:t xml:space="preserve">团队作为训练主体；LLM增强FSM全景节点为骨架、成果约束为锚点，结构化构建共享信息背包</w:t>
            </w:r>
          </w:p>
        </w:tc>
      </w:tr>
      <w:tr>
        <w:tc>
          <w:tcPr/>
          <w:p w14:paraId="0010004C" w14:textId="0010004D">
            <w:r>
              <w:t xml:space="preserve">信息采集瓶颈 / 使用门槛高</w:t>
            </w:r>
          </w:p>
        </w:tc>
        <w:tc>
          <w:tcPr/>
          <w:p w14:paraId="0010004E" w14:textId="0010004F">
            <w:r>
              <w:t xml:space="preserve">一线员工行为改变成本高，不能要求主动录入、专门培训</w:t>
            </w:r>
          </w:p>
        </w:tc>
        <w:tc>
          <w:tcPr/>
          <w:p w14:paraId="00100050" w14:textId="00100051">
            <w:r>
              <w:t xml:space="preserve">P3 自然语言持续嵌入</w:t>
            </w:r>
          </w:p>
        </w:tc>
        <w:tc>
          <w:tcPr/>
          <w:p w14:paraId="00100052" w14:textId="00100053">
            <w:r>
              <w:t xml:space="preserve">自然语言IM为入口，零学习门槛；采集先于问题存在，日常沟通中陪伴式记录，事后补录不可行</w:t>
            </w:r>
          </w:p>
        </w:tc>
      </w:tr>
      <w:tr>
        <w:tc>
          <w:tcPr/>
          <w:p w14:paraId="00100054" w14:textId="00100055">
            <w:r>
              <w:t xml:space="preserve">系统建成即固化 / 难适应动态变化</w:t>
            </w:r>
          </w:p>
        </w:tc>
        <w:tc>
          <w:tcPr/>
          <w:p w14:paraId="00100056" w14:textId="00100057">
            <w:r>
              <w:t xml:space="preserve">项目场景多样、流程可变，系统必须可扩展但不能失控</w:t>
            </w:r>
          </w:p>
        </w:tc>
        <w:tc>
          <w:tcPr/>
          <w:p w14:paraId="00100058" w14:textId="00100059">
            <w:r>
              <w:t xml:space="preserve">P4 扩展与演进原则</w:t>
            </w:r>
          </w:p>
        </w:tc>
        <w:tc>
          <w:tcPr/>
          <w:p w14:paraId="0010005A" w14:textId="0010005B">
            <w:r>
              <w:t xml:space="preserve">Skill化SOP为核心工程实现机制之一，标准化协议+渐进式发现+流程约束+可扩展演进；人批准、系统执行、全程留痕的受控演进</w:t>
            </w:r>
          </w:p>
        </w:tc>
      </w:tr>
    </w:tbl>
    <w:p w14:paraId="0010005C" w14:textId="0010005D">
      <w:pPr/>
      <w:r>
        <w:rPr>
          <w:i/>
          <w:color w:val="666666"/>
          <w:sz w:val="18"/>
        </w:rPr>
        <w:t xml:space="preserve">注：四原则从痛点与AI工程方法双向推导，形成完整闭环：权限边界→知识组织→接入采集→扩展演进。</w:t>
      </w:r>
    </w:p>
    <w:p w14:paraId="0010005E" w14:textId="0010005F">
      <w:pPr/>
      <w:r>
        <w:rPr>
          <w:sz w:val="24"/>
        </w:rPr>
        <w:t xml:space="preserve"/>
      </w:r>
    </w:p>
    <w:p w14:paraId="00100060" w14:textId="00100061">
      <w:pPr>
        <w:pStyle w:val="Heading2"/>
        <w:jc w:val="center"/>
      </w:pPr>
      <w:r>
        <w:rPr/>
        <w:t xml:space="preserve">表 5-3 交叉验证对照对比表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768"/>
        <w:gridCol w:w="2768"/>
        <w:gridCol w:w="2768"/>
      </w:tblGrid>
      <w:tr>
        <w:tc>
          <w:tcPr>
            <w:shd w:val="clear" w:fill="D9E2F3"/>
          </w:tcPr>
          <w:p w14:paraId="00100062" w14:textId="00100063">
            <w:pPr>
              <w:jc w:val="center"/>
              <w:rPr>
                <w:b/>
              </w:rPr>
            </w:pPr>
            <w:r>
              <w:rPr>
                <w:b/>
              </w:rPr>
              <w:t xml:space="preserve">对比维度</w:t>
            </w:r>
          </w:p>
        </w:tc>
        <w:tc>
          <w:tcPr>
            <w:shd w:val="clear" w:fill="D9E2F3"/>
          </w:tcPr>
          <w:p w14:paraId="00100064" w14:textId="00100065">
            <w:pPr>
              <w:jc w:val="center"/>
              <w:rPr>
                <w:b/>
              </w:rPr>
            </w:pPr>
            <w:r>
              <w:rPr>
                <w:b/>
              </w:rPr>
              <w:t xml:space="preserve">传统模式（未使用 Emily）</w:t>
            </w:r>
          </w:p>
        </w:tc>
        <w:tc>
          <w:tcPr>
            <w:shd w:val="clear" w:fill="D9E2F3"/>
          </w:tcPr>
          <w:p w14:paraId="00100066" w14:textId="00100067">
            <w:pPr>
              <w:jc w:val="center"/>
              <w:rPr>
                <w:b/>
              </w:rPr>
            </w:pPr>
            <w:r>
              <w:rPr>
                <w:b/>
              </w:rPr>
              <w:t xml:space="preserve">Emily 模式</w:t>
            </w:r>
          </w:p>
        </w:tc>
      </w:tr>
      <w:tr>
        <w:tc>
          <w:tcPr/>
          <w:p w14:paraId="00100068" w14:textId="00100069">
            <w:r>
              <w:t xml:space="preserve">指令下达</w:t>
            </w:r>
          </w:p>
        </w:tc>
        <w:tc>
          <w:tcPr/>
          <w:p w14:paraId="0010006A" w14:textId="0010006B">
            <w:r>
              <w:t xml:space="preserve">微信群口头布置，滚动淹没无留痕</w:t>
            </w:r>
          </w:p>
        </w:tc>
        <w:tc>
          <w:tcPr/>
          <w:p w14:paraId="0010006C" w14:textId="0010006D">
            <w:r>
              <w:t xml:space="preserve">任务下发 + 全景节点锚定，全程留痕可追溯</w:t>
            </w:r>
          </w:p>
        </w:tc>
      </w:tr>
      <w:tr>
        <w:tc>
          <w:tcPr/>
          <w:p w14:paraId="0010006E" w14:textId="0010006F">
            <w:r>
              <w:t xml:space="preserve">执行留痕</w:t>
            </w:r>
          </w:p>
        </w:tc>
        <w:tc>
          <w:tcPr/>
          <w:p w14:paraId="00100070" w14:textId="00100071">
            <w:r>
              <w:t xml:space="preserve">执行人微信口头汇报 + 拍照，自说自证</w:t>
            </w:r>
          </w:p>
        </w:tc>
        <w:tc>
          <w:tcPr/>
          <w:p w14:paraId="00100072" w14:textId="00100073">
            <w:r>
              <w:t xml:space="preserve">事件/任务结构化记录，执行人、时间、附件均有锚点</w:t>
            </w:r>
          </w:p>
        </w:tc>
      </w:tr>
      <w:tr>
        <w:tc>
          <w:tcPr/>
          <w:p w14:paraId="00100074" w14:textId="00100075">
            <w:r>
              <w:t xml:space="preserve">记录来源</w:t>
            </w:r>
          </w:p>
        </w:tc>
        <w:tc>
          <w:tcPr/>
          <w:p w14:paraId="00100076" w14:textId="00100077">
            <w:r>
              <w:t xml:space="preserve">记录人 = 执行人 = 上报人，同一套班子</w:t>
            </w:r>
          </w:p>
        </w:tc>
        <w:tc>
          <w:tcPr/>
          <w:p w14:paraId="00100078" w14:textId="00100079">
            <w:r>
              <w:t xml:space="preserve">执行人 ≠ 认证人 ≠ 验收人，多角色多来源</w:t>
            </w:r>
          </w:p>
        </w:tc>
      </w:tr>
      <w:tr>
        <w:tc>
          <w:tcPr/>
          <w:p w14:paraId="0010007A" w14:textId="0010007B">
            <w:r>
              <w:t xml:space="preserve">时间对照</w:t>
            </w:r>
          </w:p>
        </w:tc>
        <w:tc>
          <w:tcPr/>
          <w:p w14:paraId="0010007C" w14:textId="0010007D">
            <w:r>
              <w:t xml:space="preserve">各说各话，无统一时间轴，难以还原过程</w:t>
            </w:r>
          </w:p>
        </w:tc>
        <w:tc>
          <w:tcPr/>
          <w:p w14:paraId="0010007E" w14:textId="0010007F">
            <w:r>
              <w:t xml:space="preserve">指令下发 → 执行上报 → 验收确认，时间线完整可对照</w:t>
            </w:r>
          </w:p>
        </w:tc>
      </w:tr>
      <w:tr>
        <w:tc>
          <w:tcPr/>
          <w:p w14:paraId="00100080" w14:textId="00100081">
            <w:r>
              <w:t xml:space="preserve">交叉验证</w:t>
            </w:r>
          </w:p>
        </w:tc>
        <w:tc>
          <w:tcPr/>
          <w:p w14:paraId="00100082" w14:textId="00100083">
            <w:r>
              <w:t xml:space="preserve">无从谈起，信息孤岛无核验渠道</w:t>
            </w:r>
          </w:p>
        </w:tc>
        <w:tc>
          <w:tcPr/>
          <w:p w14:paraId="00100084" w14:textId="00100085">
            <w:r>
              <w:t xml:space="preserve">多来源留痕串成可对照记录链，支持交叉溯源</w:t>
            </w:r>
          </w:p>
        </w:tc>
      </w:tr>
      <w:tr>
        <w:tc>
          <w:tcPr/>
          <w:p w14:paraId="00100086" w14:textId="00100087">
            <w:r>
              <w:t xml:space="preserve">领导核查</w:t>
            </w:r>
          </w:p>
        </w:tc>
        <w:tc>
          <w:tcPr/>
          <w:p w14:paraId="00100088" w14:textId="00100089">
            <w:r>
              <w:t xml:space="preserve">逐人电话 / 翻群聊 / 找台账，成本高且不完整</w:t>
            </w:r>
          </w:p>
        </w:tc>
        <w:tc>
          <w:tcPr/>
          <w:p w14:paraId="0010008A" w14:textId="0010008B">
            <w:r>
              <w:t xml:space="preserve">一句自然语言查询，穿透层级还原完整链路</w:t>
            </w:r>
          </w:p>
        </w:tc>
      </w:tr>
    </w:tbl>
    <w:p w14:paraId="0010008C" w14:textId="0010008D">
      <w:pPr/>
      <w:r>
        <w:rPr>
          <w:i/>
          <w:color w:val="666666"/>
          <w:sz w:val="18"/>
        </w:rPr>
        <w:t xml:space="preserve">注：本表支撑验证场景2「显式任务链执行与交叉验证」，是「多来源可对照全程留痕记录链」的核心证据表。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宋体" w:hAnsi="宋体" w:eastAsia="宋体" w:cs="宋体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834286fb80d4984" /><Relationship Type="http://schemas.openxmlformats.org/officeDocument/2006/relationships/styles" Target="/word/styles.xml" Id="Rcac3135e3b9e4f51" /><Relationship Type="http://schemas.openxmlformats.org/officeDocument/2006/relationships/theme" Target="/word/theme/theme1.xml" Id="R152c1ab6824e4935" /><Relationship Type="http://schemas.openxmlformats.org/officeDocument/2006/relationships/numbering" Target="/word/numbering.xml" Id="R37d3bdc3bee041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2026-08-18T07:17:53Z</dcterms:created>
  <cp:lastModifiedBy>OfficeCLI</cp:lastModifiedBy>
  <dcterms:modified xsi:type="dcterms:W3CDTF">2026-08-18T07:17:53Z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2026-08-18T08:09:38Z</vt:lpwstr>
  </op:property>
</op:Properties>
</file>