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Brief d’implémentation unifié</w:t>
      </w:r>
    </w:p>
    <w:p>
      <w:pPr>
        <w:pStyle w:val="Subtitle"/>
        <w:jc w:val="center"/>
      </w:pPr>
      <w:r>
        <w:t>SourceQuote-driven scrollytelling pour le graphe de thèse</w:t>
      </w:r>
    </w:p>
    <w:p>
      <w:pPr>
        <w:pStyle w:val="Subtitle"/>
        <w:jc w:val="center"/>
      </w:pPr>
      <w:r>
        <w:t>Document de cadrage opérationnel — version bloc unique pour agent implémenteur</w:t>
      </w:r>
    </w:p>
    <w:p/>
    <w:tbl>
      <w:tblPr>
        <w:tblW w:type="auto" w:w="0"/>
        <w:jc w:val="center"/>
        <w:tblLook w:firstColumn="1" w:firstRow="1" w:lastColumn="0" w:lastRow="0" w:noHBand="0" w:noVBand="1" w:val="04A0"/>
      </w:tblPr>
      <w:tblGrid>
        <w:gridCol w:w="9746"/>
      </w:tblGrid>
      <w:tr>
        <w:tc>
          <w:tcPr>
            <w:tcW w:type="dxa" w:w="9746"/>
            <w:shd w:fill="EEF3F8"/>
            <w:tcMar>
              <w:top w:w="130" w:type="dxa"/>
              <w:start w:w="160" w:type="dxa"/>
              <w:bottom w:w="130" w:type="dxa"/>
              <w:end w:w="160" w:type="dxa"/>
            </w:tcMar>
            <w:vAlign w:val="center"/>
          </w:tcPr>
          <w:p>
            <w:pPr>
              <w:pStyle w:val="BoxText"/>
            </w:pPr>
            <w:r>
              <w:rPr>
                <w:b/>
                <w:color w:val="19376D"/>
              </w:rPr>
              <w:t>But du document</w:t>
            </w:r>
          </w:p>
          <w:p>
            <w:pPr>
              <w:pStyle w:val="BoxText"/>
            </w:pPr>
            <w:r>
              <w:t>Transformer la couche SourceQuote, déjà très riche, en charpente narrative et visuelle du scrollytelling.</w:t>
            </w:r>
          </w:p>
          <w:p>
            <w:pPr>
              <w:pStyle w:val="BoxText"/>
            </w:pPr>
            <w:r>
              <w:t>Faire en sorte que les stories ne soient plus de simples scènes par voisinage, mais des parcours cousus par les citations, les nœuds primaires, les nœuds-ponts et des relations filtrées.</w:t>
            </w:r>
          </w:p>
          <w:p>
            <w:pPr>
              <w:pStyle w:val="BoxText"/>
            </w:pPr>
            <w:r>
              <w:t>Donner à Claude un seul bloc de travail cohérent, directement implémentable, sans dispersion.</w:t>
            </w:r>
          </w:p>
        </w:tc>
      </w:tr>
    </w:tbl>
    <w:p/>
    <w:p>
      <w:pPr>
        <w:pStyle w:val="Heading1"/>
      </w:pPr>
      <w:r>
        <w:t>Contexte immédiat</w:t>
      </w:r>
    </w:p>
    <w:p>
      <w:pPr/>
      <w:r>
        <w:t>Le graphe dispose déjà d’une couche narrative, de presets de stories, d’un mode lecteur, d’anchors narratifs et d’une couche SourceQuote importante. Le problème n’est donc plus l’absence de matière, mais son insuffisante conversion en puissance narrative. Les citations existent ; elles n’organisent pas encore assez la circulation entre les scènes, les nœuds et les relations.</w:t>
      </w:r>
    </w:p>
    <w:p>
      <w:pPr/>
      <w:r>
        <w:t>L’enjeu n’est pas d’ajouter un récit de plus, mais de faire des SourceQuote le moteur de couture entre preuve textuelle, scène graphique et transition d’une étape à l’autre.</w:t>
      </w:r>
    </w:p>
    <w:p>
      <w:pPr>
        <w:pStyle w:val="Heading1"/>
      </w:pPr>
      <w:r>
        <w:t>Diagnostic synthétique</w:t>
      </w:r>
    </w:p>
    <w:p>
      <w:pPr/>
      <w:r>
        <w:t>La situation actuelle peut être résumée en quatre constats :</w:t>
      </w:r>
    </w:p>
    <w:p>
      <w:pPr>
        <w:ind w:left="283"/>
      </w:pPr>
      <w:r>
        <w:rPr>
          <w:b/>
        </w:rPr>
        <w:t xml:space="preserve">• </w:t>
      </w:r>
      <w:r>
        <w:t>La couche SourceQuote a fait l’objet d’un gros travail d’ancrage et de distribution dans le graphe ; elle existe comme réserve de preuve.</w:t>
      </w:r>
    </w:p>
    <w:p>
      <w:pPr>
        <w:ind w:left="283"/>
      </w:pPr>
      <w:r>
        <w:rPr>
          <w:b/>
        </w:rPr>
        <w:t xml:space="preserve">• </w:t>
      </w:r>
      <w:r>
        <w:t>Les stories utilisent encore trop souvent une logique de voisinage automatique qui dilue la force des citations dans une scène trop large.</w:t>
      </w:r>
    </w:p>
    <w:p>
      <w:pPr>
        <w:ind w:left="283"/>
      </w:pPr>
      <w:r>
        <w:rPr>
          <w:b/>
        </w:rPr>
        <w:t xml:space="preserve">• </w:t>
      </w:r>
      <w:r>
        <w:t>Les NarrativeAnchor contiennent déjà les bons ingrédients — citation, entité primaire, entités secondaires, entités-ponts, paramètres de scène — mais ces éléments ne structurent pas encore toute la navigation.</w:t>
      </w:r>
    </w:p>
    <w:p>
      <w:pPr>
        <w:ind w:left="283"/>
      </w:pPr>
      <w:r>
        <w:rPr>
          <w:b/>
        </w:rPr>
        <w:t xml:space="preserve">• </w:t>
      </w:r>
      <w:r>
        <w:t>Le résultat est un décalage : la preuve textuelle est présente dans les données, mais elle ne sert pas encore de colonne vertébrale visuelle aux récits.</w:t>
      </w:r>
    </w:p>
    <w:tbl>
      <w:tblPr>
        <w:tblW w:type="auto" w:w="0"/>
        <w:jc w:val="center"/>
        <w:tblLook w:firstColumn="1" w:firstRow="1" w:lastColumn="0" w:lastRow="0" w:noHBand="0" w:noVBand="1" w:val="04A0"/>
      </w:tblPr>
      <w:tblGrid>
        <w:gridCol w:w="9746"/>
      </w:tblGrid>
      <w:tr>
        <w:tc>
          <w:tcPr>
            <w:tcW w:type="dxa" w:w="9746"/>
            <w:shd w:fill="FFF7E8"/>
            <w:tcMar>
              <w:top w:w="130" w:type="dxa"/>
              <w:start w:w="160" w:type="dxa"/>
              <w:bottom w:w="130" w:type="dxa"/>
              <w:end w:w="160" w:type="dxa"/>
            </w:tcMar>
            <w:vAlign w:val="center"/>
          </w:tcPr>
          <w:p>
            <w:pPr>
              <w:pStyle w:val="BoxText"/>
            </w:pPr>
            <w:r>
              <w:rPr>
                <w:b/>
                <w:color w:val="19376D"/>
              </w:rPr>
              <w:t>Principe directeur</w:t>
            </w:r>
          </w:p>
          <w:p>
            <w:pPr>
              <w:pStyle w:val="BoxText"/>
            </w:pPr>
            <w:r>
              <w:t>Quote first, graph second.</w:t>
            </w:r>
          </w:p>
          <w:p>
            <w:pPr>
              <w:pStyle w:val="BoxText"/>
            </w:pPr>
            <w:r>
              <w:t>Une story ne doit plus partir d’un voisinage brut, mais d’une ou plusieurs citations.</w:t>
            </w:r>
          </w:p>
          <w:p>
            <w:pPr>
              <w:pStyle w:val="BoxText"/>
            </w:pPr>
            <w:r>
              <w:t>La citation désigne un nœud principal, ouvre un halo secondaire, puis suggère un ou plusieurs nœuds-ponts vers la scène suivante.</w:t>
            </w:r>
          </w:p>
        </w:tc>
      </w:tr>
    </w:tbl>
    <w:p/>
    <w:p>
      <w:pPr>
        <w:pStyle w:val="Heading1"/>
      </w:pPr>
      <w:r>
        <w:t>Ce que doit faire la couche SourceQuote</w:t>
      </w:r>
    </w:p>
    <w:p>
      <w:pPr>
        <w:pStyle w:val="Heading2"/>
      </w:pPr>
      <w:r>
        <w:t>1. Déclencher les scènes</w:t>
      </w:r>
    </w:p>
    <w:p>
      <w:pPr/>
      <w:r>
        <w:t>Chaque étape de story doit pouvoir être rattachée à 1 à 3 SourceQuote. La citation n’est plus seulement une preuve affichée dans le lecteur ; elle devient le point d’entrée de la scène.</w:t>
      </w:r>
    </w:p>
    <w:p>
      <w:pPr>
        <w:pStyle w:val="Heading2"/>
      </w:pPr>
      <w:r>
        <w:t>2. Définir la structure minimale de la scène</w:t>
      </w:r>
    </w:p>
    <w:p>
      <w:pPr/>
      <w:r>
        <w:t>À partir de l’ancre citationnelle, on doit distinguer : le nœud primaire (objet principal), les nœuds secondaires (contexte analytique proche) et les nœuds-ponts (transition vers l’étape suivante).</w:t>
      </w:r>
    </w:p>
    <w:p>
      <w:pPr>
        <w:pStyle w:val="Heading2"/>
      </w:pPr>
      <w:r>
        <w:t>3. Produire une continuité visuelle</w:t>
      </w:r>
    </w:p>
    <w:p>
      <w:pPr/>
      <w:r>
        <w:t>Le passage d’une étape à l’autre doit réutiliser un ou plusieurs nœuds-ponts. Cela crée une trame visuelle continue au lieu d’un simple diaporama de scènes indépendantes.</w:t>
      </w:r>
    </w:p>
    <w:p>
      <w:pPr>
        <w:pStyle w:val="Heading2"/>
      </w:pPr>
      <w:r>
        <w:t>4. Hiérarchiser les relations</w:t>
      </w:r>
    </w:p>
    <w:p>
      <w:pPr/>
      <w:r>
        <w:t>Les relations ne doivent pas apparaître en masse. D’abord les nœuds, ensuite quelques arêtes primaires, puis seulement au clic volontaire un contexte élargi et filtré.</w:t>
      </w:r>
    </w:p>
    <w:p>
      <w:pPr>
        <w:pStyle w:val="Heading2"/>
      </w:pPr>
      <w:r>
        <w:t>5. Rendre la preuve visible</w:t>
      </w:r>
    </w:p>
    <w:p>
      <w:pPr/>
      <w:r>
        <w:t>Le lecteur doit sentir que le graphe se déplace parce qu’une citation l’y conduit. Le texte, la preuve et le mouvement dans le graphe doivent former une seule chaîne perceptible.</w:t>
      </w:r>
    </w:p>
    <w:p>
      <w:pPr>
        <w:pStyle w:val="Heading1"/>
      </w:pPr>
      <w:r>
        <w:t>Architecture cible</w:t>
      </w:r>
    </w:p>
    <w:p>
      <w:pPr>
        <w:pStyle w:val="Heading2"/>
      </w:pPr>
      <w:r>
        <w:t>A. Modèle narratif unifié</w:t>
      </w:r>
    </w:p>
    <w:p>
      <w:pPr/>
      <w:r>
        <w:t>Chaque étape de story doit être décrite par une petite structure explicite, stable et réutilisable. Cette structure doit pouvoir être branchée aussi bien sur les stories générales que sur les stories thématiques.</w:t>
      </w:r>
    </w:p>
    <w:tbl>
      <w:tblPr>
        <w:tblW w:type="auto" w:w="0"/>
        <w:jc w:val="center"/>
        <w:tblLook w:firstColumn="1" w:firstRow="1" w:lastColumn="0" w:lastRow="0" w:noHBand="0" w:noVBand="1" w:val="04A0"/>
      </w:tblPr>
      <w:tblGrid>
        <w:gridCol w:w="9746"/>
      </w:tblGrid>
      <w:tr>
        <w:tc>
          <w:tcPr>
            <w:tcW w:type="dxa" w:w="9746"/>
            <w:shd w:fill="F4F7FB"/>
            <w:tcMar>
              <w:top w:w="130" w:type="dxa"/>
              <w:start w:w="160" w:type="dxa"/>
              <w:bottom w:w="130" w:type="dxa"/>
              <w:end w:w="160" w:type="dxa"/>
            </w:tcMar>
            <w:vAlign w:val="center"/>
          </w:tcPr>
          <w:p>
            <w:pPr>
              <w:pStyle w:val="BoxText"/>
            </w:pPr>
            <w:r>
              <w:rPr>
                <w:b/>
                <w:color w:val="19376D"/>
              </w:rPr>
              <w:t>Structure minimale recommandée</w:t>
            </w:r>
          </w:p>
          <w:p>
            <w:pPr>
              <w:pStyle w:val="BoxText"/>
            </w:pPr>
            <w:r>
              <w:t>{</w:t>
              <w:br/>
              <w:t xml:space="preserve">  "storyId": "monetisation-cryptos",</w:t>
              <w:br/>
              <w:t xml:space="preserve">  "stepId": "monetisation-03",</w:t>
              <w:br/>
              <w:t xml:space="preserve">  "title": "Pourtant, elles font monnaie",</w:t>
              <w:br/>
              <w:t xml:space="preserve">  "anchorIds": ["sq-0412", "sq-0413"],</w:t>
              <w:br/>
              <w:t xml:space="preserve">  "primaryEntityId": "entity_monetisation",</w:t>
              <w:br/>
              <w:t xml:space="preserve">  "secondaryEntityIds": ["entity_ucn_btc", "entity_ucn_eth", "entity_usages"],</w:t>
              <w:br/>
              <w:t xml:space="preserve">  "bridgeEntityIds": ["entity_communauté_paiement"],</w:t>
              <w:br/>
              <w:t xml:space="preserve">  "allowedRelationTypes": ["hasConcept", "monetaryObject", "demonstrates", "relatedTo"],</w:t>
              <w:br/>
              <w:t xml:space="preserve">  "initialState": "nodes-only",</w:t>
              <w:br/>
              <w:t xml:space="preserve">  "revealMode": "staged",</w:t>
              <w:br/>
              <w:t xml:space="preserve">  "expandOnClick": true,</w:t>
              <w:br/>
              <w:t xml:space="preserve">  "includeNeighbors": false,</w:t>
              <w:br/>
              <w:t xml:space="preserve">  "secondaryDepth": 0,</w:t>
              <w:br/>
              <w:t xml:space="preserve">  "maxAutoEdges": 6</w:t>
              <w:br/>
              <w:t>}</w:t>
            </w:r>
          </w:p>
        </w:tc>
      </w:tr>
    </w:tbl>
    <w:p/>
    <w:p>
      <w:pPr>
        <w:pStyle w:val="Heading2"/>
      </w:pPr>
      <w:r>
        <w:t>B. Logique de scène</w:t>
      </w:r>
    </w:p>
    <w:p>
      <w:pPr>
        <w:ind w:left="283"/>
      </w:pPr>
      <w:r>
        <w:rPr>
          <w:b/>
        </w:rPr>
        <w:t xml:space="preserve">• </w:t>
      </w:r>
      <w:r>
        <w:t>État 1 — nodes only : seuls les nœuds primaires, secondaires et éventuellement un nœud-pont sont visibles.</w:t>
      </w:r>
    </w:p>
    <w:p>
      <w:pPr>
        <w:ind w:left="283"/>
      </w:pPr>
      <w:r>
        <w:rPr>
          <w:b/>
        </w:rPr>
        <w:t xml:space="preserve">• </w:t>
      </w:r>
      <w:r>
        <w:t>État 2 — primary edges : seules les arêtes strictement nécessaires à la compréhension du paragraphe apparaissent.</w:t>
      </w:r>
    </w:p>
    <w:p>
      <w:pPr>
        <w:ind w:left="283"/>
      </w:pPr>
      <w:r>
        <w:rPr>
          <w:b/>
        </w:rPr>
        <w:t xml:space="preserve">• </w:t>
      </w:r>
      <w:r>
        <w:t>État 3 — expanded context : au clic, un petit voisinage complémentaire est révélé, limité et filtré.</w:t>
      </w:r>
    </w:p>
    <w:p>
      <w:pPr>
        <w:pStyle w:val="Heading2"/>
      </w:pPr>
      <w:r>
        <w:t>C. Trame visuelle d’une étape à l’autre</w:t>
      </w:r>
    </w:p>
    <w:p>
      <w:pPr/>
      <w:r>
        <w:t>Le nœud-pont de l’étape N doit devenir, en tout ou partie, le point de départ de l’étape N+1. Ainsi, la progression n’est plus simplement textuelle ; elle devient visuellement cousue. Le lecteur suit une ligne d’objets et de preuves, pas une série de scènes sans mémoire.</w:t>
      </w:r>
    </w:p>
    <w:p>
      <w:pPr>
        <w:pStyle w:val="Heading1"/>
      </w:pPr>
      <w:r>
        <w:t>Conséquences concrètes pour les stories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CE6F1"/>
            <w:tcMar>
              <w:top w:w="110" w:type="dxa"/>
              <w:start w:w="100" w:type="dxa"/>
              <w:bottom w:w="110" w:type="dxa"/>
              <w:end w:w="100" w:type="dxa"/>
            </w:tcMar>
          </w:tcPr>
          <w:p>
            <w:r>
              <w:rPr>
                <w:b/>
                <w:color w:val="19376D"/>
              </w:rPr>
              <w:t>Story</w:t>
            </w:r>
          </w:p>
        </w:tc>
        <w:tc>
          <w:tcPr>
            <w:tcW w:type="dxa" w:w="3249"/>
            <w:shd w:fill="DCE6F1"/>
            <w:tcMar>
              <w:top w:w="110" w:type="dxa"/>
              <w:start w:w="100" w:type="dxa"/>
              <w:bottom w:w="110" w:type="dxa"/>
              <w:end w:w="100" w:type="dxa"/>
            </w:tcMar>
          </w:tcPr>
          <w:p>
            <w:r>
              <w:rPr>
                <w:b/>
                <w:color w:val="19376D"/>
              </w:rPr>
              <w:t>Rôle des SourceQuote</w:t>
            </w:r>
          </w:p>
        </w:tc>
        <w:tc>
          <w:tcPr>
            <w:tcW w:type="dxa" w:w="3249"/>
            <w:shd w:fill="DCE6F1"/>
            <w:tcMar>
              <w:top w:w="110" w:type="dxa"/>
              <w:start w:w="100" w:type="dxa"/>
              <w:bottom w:w="110" w:type="dxa"/>
              <w:end w:w="100" w:type="dxa"/>
            </w:tcMar>
          </w:tcPr>
          <w:p>
            <w:r>
              <w:rPr>
                <w:b/>
                <w:color w:val="19376D"/>
              </w:rPr>
              <w:t>Effet attendu</w:t>
            </w:r>
          </w:p>
        </w:tc>
      </w:tr>
      <w:tr>
        <w:tc>
          <w:tcPr>
            <w:tcW w:type="dxa" w:w="3249"/>
            <w:tcMar>
              <w:top w:w="90" w:type="dxa"/>
              <w:start w:w="100" w:type="dxa"/>
              <w:bottom w:w="90" w:type="dxa"/>
              <w:end w:w="100" w:type="dxa"/>
            </w:tcMar>
            <w:vAlign w:val="center"/>
          </w:tcPr>
          <w:p>
            <w:r>
              <w:t>structure-these</w:t>
            </w:r>
          </w:p>
        </w:tc>
        <w:tc>
          <w:tcPr>
            <w:tcW w:type="dxa" w:w="3249"/>
            <w:tcMar>
              <w:top w:w="90" w:type="dxa"/>
              <w:start w:w="100" w:type="dxa"/>
              <w:bottom w:w="90" w:type="dxa"/>
              <w:end w:w="100" w:type="dxa"/>
            </w:tcMar>
            <w:vAlign w:val="center"/>
          </w:tcPr>
          <w:p>
            <w:r>
              <w:t>Citations de charnière entre introduction, chapitres et conclusion</w:t>
            </w:r>
          </w:p>
        </w:tc>
        <w:tc>
          <w:tcPr>
            <w:tcW w:type="dxa" w:w="3249"/>
            <w:tcMar>
              <w:top w:w="90" w:type="dxa"/>
              <w:start w:w="100" w:type="dxa"/>
              <w:bottom w:w="90" w:type="dxa"/>
              <w:end w:w="100" w:type="dxa"/>
            </w:tcMar>
            <w:vAlign w:val="center"/>
          </w:tcPr>
          <w:p>
            <w:r>
              <w:t>Faire sentir la progression argumentative générale</w:t>
            </w:r>
          </w:p>
        </w:tc>
      </w:tr>
      <w:tr>
        <w:tc>
          <w:tcPr>
            <w:tcW w:type="dxa" w:w="3249"/>
            <w:tcMar>
              <w:top w:w="90" w:type="dxa"/>
              <w:start w:w="100" w:type="dxa"/>
              <w:bottom w:w="90" w:type="dxa"/>
              <w:end w:w="100" w:type="dxa"/>
            </w:tcMar>
            <w:vAlign w:val="center"/>
          </w:tcPr>
          <w:p>
            <w:r>
              <w:t>monetisation-cryptos</w:t>
            </w:r>
          </w:p>
        </w:tc>
        <w:tc>
          <w:tcPr>
            <w:tcW w:type="dxa" w:w="3249"/>
            <w:tcMar>
              <w:top w:w="90" w:type="dxa"/>
              <w:start w:w="100" w:type="dxa"/>
              <w:bottom w:w="90" w:type="dxa"/>
              <w:end w:w="100" w:type="dxa"/>
            </w:tcMar>
            <w:vAlign w:val="center"/>
          </w:tcPr>
          <w:p>
            <w:r>
              <w:t>Citations qui passent du débat théorique aux usages et à la communauté de paiement</w:t>
            </w:r>
          </w:p>
        </w:tc>
        <w:tc>
          <w:tcPr>
            <w:tcW w:type="dxa" w:w="3249"/>
            <w:tcMar>
              <w:top w:w="90" w:type="dxa"/>
              <w:start w:w="100" w:type="dxa"/>
              <w:bottom w:w="90" w:type="dxa"/>
              <w:end w:w="100" w:type="dxa"/>
            </w:tcMar>
            <w:vAlign w:val="center"/>
          </w:tcPr>
          <w:p>
            <w:r>
              <w:t>Montrer que la monétisation est un processus situé</w:t>
            </w:r>
          </w:p>
        </w:tc>
      </w:tr>
      <w:tr>
        <w:tc>
          <w:tcPr>
            <w:tcW w:type="dxa" w:w="3249"/>
            <w:tcMar>
              <w:top w:w="90" w:type="dxa"/>
              <w:start w:w="100" w:type="dxa"/>
              <w:bottom w:w="90" w:type="dxa"/>
              <w:end w:w="100" w:type="dxa"/>
            </w:tcMar>
            <w:vAlign w:val="center"/>
          </w:tcPr>
          <w:p>
            <w:r>
              <w:t>crises</w:t>
            </w:r>
          </w:p>
        </w:tc>
        <w:tc>
          <w:tcPr>
            <w:tcW w:type="dxa" w:w="3249"/>
            <w:tcMar>
              <w:top w:w="90" w:type="dxa"/>
              <w:start w:w="100" w:type="dxa"/>
              <w:bottom w:w="90" w:type="dxa"/>
              <w:end w:w="100" w:type="dxa"/>
            </w:tcMar>
            <w:vAlign w:val="center"/>
          </w:tcPr>
          <w:p>
            <w:r>
              <w:t>Citations de qualification, dispositifs, diagnostics et remise en ordre</w:t>
            </w:r>
          </w:p>
        </w:tc>
        <w:tc>
          <w:tcPr>
            <w:tcW w:type="dxa" w:w="3249"/>
            <w:tcMar>
              <w:top w:w="90" w:type="dxa"/>
              <w:start w:w="100" w:type="dxa"/>
              <w:bottom w:w="90" w:type="dxa"/>
              <w:end w:w="100" w:type="dxa"/>
            </w:tcMar>
            <w:vAlign w:val="center"/>
          </w:tcPr>
          <w:p>
            <w:r>
              <w:t>Faire des crises un révélateur de gouvernance, pas un catalogue d’événements</w:t>
            </w:r>
          </w:p>
        </w:tc>
      </w:tr>
      <w:tr>
        <w:tc>
          <w:tcPr>
            <w:tcW w:type="dxa" w:w="3249"/>
            <w:tcMar>
              <w:top w:w="90" w:type="dxa"/>
              <w:start w:w="100" w:type="dxa"/>
              <w:bottom w:w="90" w:type="dxa"/>
              <w:end w:w="100" w:type="dxa"/>
            </w:tcMar>
            <w:vAlign w:val="center"/>
          </w:tcPr>
          <w:p>
            <w:r>
              <w:t>qui-gouverne-reellement</w:t>
            </w:r>
          </w:p>
        </w:tc>
        <w:tc>
          <w:tcPr>
            <w:tcW w:type="dxa" w:w="3249"/>
            <w:tcMar>
              <w:top w:w="90" w:type="dxa"/>
              <w:start w:w="100" w:type="dxa"/>
              <w:bottom w:w="90" w:type="dxa"/>
              <w:end w:w="100" w:type="dxa"/>
            </w:tcMar>
            <w:vAlign w:val="center"/>
          </w:tcPr>
          <w:p>
            <w:r>
              <w:t>Citations décrivant acteurs, arènes, maintenance et asymétries</w:t>
            </w:r>
          </w:p>
        </w:tc>
        <w:tc>
          <w:tcPr>
            <w:tcW w:type="dxa" w:w="3249"/>
            <w:tcMar>
              <w:top w:w="90" w:type="dxa"/>
              <w:start w:w="100" w:type="dxa"/>
              <w:bottom w:w="90" w:type="dxa"/>
              <w:end w:w="100" w:type="dxa"/>
            </w:tcMar>
            <w:vAlign w:val="center"/>
          </w:tcPr>
          <w:p>
            <w:r>
              <w:t>Rendre visible la gouvernance effective</w:t>
            </w:r>
          </w:p>
        </w:tc>
      </w:tr>
      <w:tr>
        <w:tc>
          <w:tcPr>
            <w:tcW w:type="dxa" w:w="3249"/>
            <w:tcMar>
              <w:top w:w="90" w:type="dxa"/>
              <w:start w:w="100" w:type="dxa"/>
              <w:bottom w:w="90" w:type="dxa"/>
              <w:end w:w="100" w:type="dxa"/>
            </w:tcMar>
            <w:vAlign w:val="center"/>
          </w:tcPr>
          <w:p>
            <w:r>
              <w:t>fil-de-preuves</w:t>
            </w:r>
          </w:p>
        </w:tc>
        <w:tc>
          <w:tcPr>
            <w:tcW w:type="dxa" w:w="3249"/>
            <w:tcMar>
              <w:top w:w="90" w:type="dxa"/>
              <w:start w:w="100" w:type="dxa"/>
              <w:bottom w:w="90" w:type="dxa"/>
              <w:end w:w="100" w:type="dxa"/>
            </w:tcMar>
            <w:vAlign w:val="center"/>
          </w:tcPr>
          <w:p>
            <w:r>
              <w:t>Citations pivot formant une chaîne probatoire explicite</w:t>
            </w:r>
          </w:p>
        </w:tc>
        <w:tc>
          <w:tcPr>
            <w:tcW w:type="dxa" w:w="3249"/>
            <w:tcMar>
              <w:top w:w="90" w:type="dxa"/>
              <w:start w:w="100" w:type="dxa"/>
              <w:bottom w:w="90" w:type="dxa"/>
              <w:end w:w="100" w:type="dxa"/>
            </w:tcMar>
            <w:vAlign w:val="center"/>
          </w:tcPr>
          <w:p>
            <w:r>
              <w:t>Transformer la preuve en colonne vertébrale narrative</w:t>
            </w:r>
          </w:p>
        </w:tc>
      </w:tr>
    </w:tbl>
    <w:p/>
    <w:p>
      <w:pPr>
        <w:pStyle w:val="Heading1"/>
      </w:pPr>
      <w:r>
        <w:t>Chantier unifié à demander à l’agent</w:t>
      </w:r>
    </w:p>
    <w:p>
      <w:pPr/>
      <w:r>
        <w:t>Le travail doit être demandé en un seul bloc cohérent, mais organisé en séquence interne claire :</w:t>
      </w:r>
    </w:p>
    <w:p>
      <w:pPr>
        <w:ind w:left="283"/>
      </w:pPr>
      <w:r>
        <w:rPr>
          <w:b/>
        </w:rPr>
        <w:t xml:space="preserve">• </w:t>
      </w:r>
      <w:r>
        <w:t>Étape 1 — faire des SourceQuote une dépendance explicite de toutes les stories refondues ;</w:t>
      </w:r>
    </w:p>
    <w:p>
      <w:pPr>
        <w:ind w:left="283"/>
      </w:pPr>
      <w:r>
        <w:rPr>
          <w:b/>
        </w:rPr>
        <w:t xml:space="preserve">• </w:t>
      </w:r>
      <w:r>
        <w:t>Étape 2 — permettre à chaque étape de story d’accepter une liste `anchorIds` ;</w:t>
      </w:r>
    </w:p>
    <w:p>
      <w:pPr>
        <w:ind w:left="283"/>
      </w:pPr>
      <w:r>
        <w:rPr>
          <w:b/>
        </w:rPr>
        <w:t xml:space="preserve">• </w:t>
      </w:r>
      <w:r>
        <w:t>Étape 3 — brancher `primaryEntityId`, `secondaryEntityIds` et `bridgeEntityIds` sur la scène graphique ;</w:t>
      </w:r>
    </w:p>
    <w:p>
      <w:pPr>
        <w:ind w:left="283"/>
      </w:pPr>
      <w:r>
        <w:rPr>
          <w:b/>
        </w:rPr>
        <w:t xml:space="preserve">• </w:t>
      </w:r>
      <w:r>
        <w:t>Étape 4 — supprimer, pour ces stories, la dépendance par défaut à `includeNeighbors: true` et `secondaryDepth: 1` ;</w:t>
      </w:r>
    </w:p>
    <w:p>
      <w:pPr>
        <w:ind w:left="283"/>
      </w:pPr>
      <w:r>
        <w:rPr>
          <w:b/>
        </w:rPr>
        <w:t xml:space="preserve">• </w:t>
      </w:r>
      <w:r>
        <w:t>Étape 5 — introduire une logique de révélation progressive commune ;</w:t>
      </w:r>
    </w:p>
    <w:p>
      <w:pPr>
        <w:ind w:left="283"/>
      </w:pPr>
      <w:r>
        <w:rPr>
          <w:b/>
        </w:rPr>
        <w:t xml:space="preserve">• </w:t>
      </w:r>
      <w:r>
        <w:t>Étape 6 — styliser visuellement les nœuds issus de l’ancre et les nœuds-ponts ;</w:t>
      </w:r>
    </w:p>
    <w:p>
      <w:pPr>
        <w:ind w:left="283"/>
      </w:pPr>
      <w:r>
        <w:rPr>
          <w:b/>
        </w:rPr>
        <w:t xml:space="preserve">• </w:t>
      </w:r>
      <w:r>
        <w:t>Étape 7 — garantir qu’un passage visuel existe d’une étape à l’autre ;</w:t>
      </w:r>
    </w:p>
    <w:p>
      <w:pPr>
        <w:ind w:left="283"/>
      </w:pPr>
      <w:r>
        <w:rPr>
          <w:b/>
        </w:rPr>
        <w:t xml:space="preserve">• </w:t>
      </w:r>
      <w:r>
        <w:t>Étape 8 — ne pas casser les autres layouts, le focus panel ni les performances globales.</w:t>
      </w:r>
    </w:p>
    <w:tbl>
      <w:tblPr>
        <w:tblW w:type="auto" w:w="0"/>
        <w:jc w:val="center"/>
        <w:tblLook w:firstColumn="1" w:firstRow="1" w:lastColumn="0" w:lastRow="0" w:noHBand="0" w:noVBand="1" w:val="04A0"/>
      </w:tblPr>
      <w:tblGrid>
        <w:gridCol w:w="9746"/>
      </w:tblGrid>
      <w:tr>
        <w:tc>
          <w:tcPr>
            <w:tcW w:type="dxa" w:w="9746"/>
            <w:shd w:fill="EEF3F8"/>
            <w:tcMar>
              <w:top w:w="130" w:type="dxa"/>
              <w:start w:w="160" w:type="dxa"/>
              <w:bottom w:w="130" w:type="dxa"/>
              <w:end w:w="160" w:type="dxa"/>
            </w:tcMar>
            <w:vAlign w:val="center"/>
          </w:tcPr>
          <w:p>
            <w:pPr>
              <w:pStyle w:val="BoxText"/>
            </w:pPr>
            <w:r>
              <w:rPr>
                <w:b/>
                <w:color w:val="19376D"/>
              </w:rPr>
              <w:t>Décision de design à imposer</w:t>
            </w:r>
          </w:p>
          <w:p>
            <w:pPr>
              <w:pStyle w:val="BoxText"/>
            </w:pPr>
            <w:r>
              <w:t>Une story ne doit plus être définie seulement par `focusNodes`.</w:t>
            </w:r>
          </w:p>
          <w:p>
            <w:pPr>
              <w:pStyle w:val="BoxText"/>
            </w:pPr>
            <w:r>
              <w:t>Elle doit être définie par une articulation : citation -&gt; entité primaire -&gt; entités secondaires -&gt; nœuds-ponts -&gt; relations filtrées.</w:t>
            </w:r>
          </w:p>
          <w:p>
            <w:pPr>
              <w:pStyle w:val="BoxText"/>
            </w:pPr>
            <w:r>
              <w:t>C’est cette articulation qui convertit le travail déjà fait sur les SourceQuote en véritable scrollytelling.</w:t>
            </w:r>
          </w:p>
        </w:tc>
      </w:tr>
    </w:tbl>
    <w:p/>
    <w:p>
      <w:pPr>
        <w:pStyle w:val="Heading1"/>
      </w:pPr>
      <w:r>
        <w:t>Spécification UX minimale</w:t>
      </w:r>
    </w:p>
    <w:p>
      <w:pPr>
        <w:ind w:left="283"/>
      </w:pPr>
      <w:r>
        <w:rPr>
          <w:b/>
        </w:rPr>
        <w:t xml:space="preserve">• </w:t>
      </w:r>
      <w:r>
        <w:t>Le lecteur lit un extrait de citation ou une reformulation courte.</w:t>
      </w:r>
    </w:p>
    <w:p>
      <w:pPr>
        <w:ind w:left="283"/>
      </w:pPr>
      <w:r>
        <w:rPr>
          <w:b/>
        </w:rPr>
        <w:t xml:space="preserve">• </w:t>
      </w:r>
      <w:r>
        <w:t>Le nœud primaire correspondant est immédiatement identifiable visuellement.</w:t>
      </w:r>
    </w:p>
    <w:p>
      <w:pPr>
        <w:ind w:left="283"/>
      </w:pPr>
      <w:r>
        <w:rPr>
          <w:b/>
        </w:rPr>
        <w:t xml:space="preserve">• </w:t>
      </w:r>
      <w:r>
        <w:t>Un halo secondaire contextualise la scène sans la saturer.</w:t>
      </w:r>
    </w:p>
    <w:p>
      <w:pPr>
        <w:ind w:left="283"/>
      </w:pPr>
      <w:r>
        <w:rPr>
          <w:b/>
        </w:rPr>
        <w:t xml:space="preserve">• </w:t>
      </w:r>
      <w:r>
        <w:t>Un nœud-pont ou une relation-pont laisse percevoir vers où le récit va se déplacer.</w:t>
      </w:r>
    </w:p>
    <w:p>
      <w:pPr>
        <w:ind w:left="283"/>
      </w:pPr>
      <w:r>
        <w:rPr>
          <w:b/>
        </w:rPr>
        <w:t xml:space="preserve">• </w:t>
      </w:r>
      <w:r>
        <w:t>Au scroll suivant, la scène suivante reprend ce pont comme point d’entrée.</w:t>
      </w:r>
    </w:p>
    <w:p>
      <w:pPr>
        <w:ind w:left="283"/>
      </w:pPr>
      <w:r>
        <w:rPr>
          <w:b/>
        </w:rPr>
        <w:t xml:space="preserve">• </w:t>
      </w:r>
      <w:r>
        <w:t>Le graphe ne jaillit pas ; il glisse d’une preuve à une autre.</w:t>
      </w:r>
    </w:p>
    <w:p>
      <w:pPr>
        <w:pStyle w:val="Heading1"/>
      </w:pPr>
      <w:r>
        <w:t>Définition de done</w:t>
      </w:r>
    </w:p>
    <w:p>
      <w:pPr>
        <w:ind w:left="283"/>
      </w:pPr>
      <w:r>
        <w:rPr>
          <w:b/>
        </w:rPr>
        <w:t xml:space="preserve">• </w:t>
      </w:r>
      <w:r>
        <w:t>Toutes les stories refondues peuvent consommer des `anchorIds`.</w:t>
      </w:r>
    </w:p>
    <w:p>
      <w:pPr>
        <w:ind w:left="283"/>
      </w:pPr>
      <w:r>
        <w:rPr>
          <w:b/>
        </w:rPr>
        <w:t xml:space="preserve">• </w:t>
      </w:r>
      <w:r>
        <w:t>Chaque étape de story peut faire apparaître un nœud primaire, des nœuds secondaires et des nœuds-ponts.</w:t>
      </w:r>
    </w:p>
    <w:p>
      <w:pPr>
        <w:ind w:left="283"/>
      </w:pPr>
      <w:r>
        <w:rPr>
          <w:b/>
        </w:rPr>
        <w:t xml:space="preserve">• </w:t>
      </w:r>
      <w:r>
        <w:t>Les relations sont filtrées et révélées progressivement.</w:t>
      </w:r>
    </w:p>
    <w:p>
      <w:pPr>
        <w:ind w:left="283"/>
      </w:pPr>
      <w:r>
        <w:rPr>
          <w:b/>
        </w:rPr>
        <w:t xml:space="preserve">• </w:t>
      </w:r>
      <w:r>
        <w:t>Le passage entre deux étapes réutilise une continuité visible.</w:t>
      </w:r>
    </w:p>
    <w:p>
      <w:pPr>
        <w:ind w:left="283"/>
      </w:pPr>
      <w:r>
        <w:rPr>
          <w:b/>
        </w:rPr>
        <w:t xml:space="preserve">• </w:t>
      </w:r>
      <w:r>
        <w:t>La couche SourceQuote cesse d’être une simple archive de preuves et devient le moteur de la narration visuelle.</w:t>
      </w:r>
    </w:p>
    <w:p>
      <w:pPr>
        <w:ind w:left="283"/>
      </w:pPr>
      <w:r>
        <w:rPr>
          <w:b/>
        </w:rPr>
        <w:t xml:space="preserve">• </w:t>
      </w:r>
      <w:r>
        <w:t>L’ensemble reste compatible avec le site live, les autres vues et le focus panel.</w:t>
      </w:r>
    </w:p>
    <w:p>
      <w:pPr>
        <w:pStyle w:val="Heading1"/>
      </w:pPr>
      <w:r>
        <w:t>Non-objectifs</w:t>
      </w:r>
    </w:p>
    <w:p>
      <w:pPr/>
      <w:r>
        <w:t>Ce chantier n’a pas pour but de refondre toute l’ontologie, de réécrire la thèse, ni de reconstruire intégralement la structure du graphe. Il s’agit d’un chantier narratif et visuel ciblé : faire enfin servir à plein régime le travail accumulé sur les citations, les ancrages et la couche SourceQuote.</w:t>
      </w:r>
    </w:p>
    <w:p>
      <w:pPr>
        <w:pStyle w:val="Heading1"/>
      </w:pPr>
      <w:r>
        <w:t>Formulation de commande à transmettre à Claude</w:t>
      </w:r>
    </w:p>
    <w:tbl>
      <w:tblPr>
        <w:tblW w:type="auto" w:w="0"/>
        <w:jc w:val="center"/>
        <w:tblLook w:firstColumn="1" w:firstRow="1" w:lastColumn="0" w:lastRow="0" w:noHBand="0" w:noVBand="1" w:val="04A0"/>
      </w:tblPr>
      <w:tblGrid>
        <w:gridCol w:w="9746"/>
      </w:tblGrid>
      <w:tr>
        <w:tc>
          <w:tcPr>
            <w:tcW w:type="dxa" w:w="9746"/>
            <w:shd w:fill="FFF7E8"/>
            <w:tcMar>
              <w:top w:w="130" w:type="dxa"/>
              <w:start w:w="160" w:type="dxa"/>
              <w:bottom w:w="130" w:type="dxa"/>
              <w:end w:w="160" w:type="dxa"/>
            </w:tcMar>
            <w:vAlign w:val="center"/>
          </w:tcPr>
          <w:p>
            <w:pPr>
              <w:pStyle w:val="BoxText"/>
            </w:pPr>
            <w:r>
              <w:rPr>
                <w:b/>
                <w:color w:val="19376D"/>
              </w:rPr>
              <w:t>Résumé exécutable</w:t>
            </w:r>
          </w:p>
          <w:p>
            <w:pPr>
              <w:pStyle w:val="BoxText"/>
            </w:pPr>
            <w:r>
              <w:t>Traite ce chantier comme un bloc unique : refonds la logique des stories pour qu’elles soient pilotées par les SourceQuote et les NarrativeAnchor, pas par un voisinage automatique. Fais en sorte que chaque étape consomme une ou plusieurs citations, fasse apparaître un nœud primaire, quelques nœuds secondaires, un ou plusieurs nœuds-ponts et des relations filtrées. Utilise ces ponts pour assurer une continuité visuelle entre les scènes. Ne casse ni les autres vues, ni le focus panel, ni les performances. À la fin, le lecteur doit sentir que le graphe se déplace parce qu’une citation l’y conduit.</w:t>
            </w:r>
          </w:p>
        </w:tc>
      </w:tr>
    </w:tbl>
    <w:p/>
    <w:p/>
    <w:p>
      <w:pPr>
        <w:pStyle w:val="SmallNote"/>
        <w:jc w:val="right"/>
      </w:pPr>
      <w:r>
        <w:t>Document de cadrage interne — pour usage d’implémentation, pas pour publication.</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9376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B5C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626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9376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after="80" w:line="264" w:lineRule="auto"/>
    </w:pPr>
    <w:rPr>
      <w:rFonts w:ascii="Aptos" w:hAnsi="Aptos" w:eastAsia="Aptos"/>
      <w:color w:val="5A5A5A"/>
      <w:sz w:val="19"/>
    </w:rPr>
  </w:style>
  <w:style w:type="paragraph" w:customStyle="1" w:styleId="BoxText">
    <w:name w:val="BoxText"/>
    <w:pPr>
      <w:spacing w:after="60" w:line="264" w:lineRule="auto"/>
    </w:pPr>
    <w:rPr>
      <w:rFonts w:ascii="Aptos" w:hAnsi="Aptos" w:eastAsia="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