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23FE4" w:rsidRPr="00F23FE4" w:rsidRDefault="00F23FE4" w:rsidP="00F23FE4">
      <w:pPr>
        <w:shd w:val="clear" w:color="auto" w:fill="FFFFFF"/>
        <w:spacing w:before="480" w:after="240" w:line="510" w:lineRule="atLeast"/>
        <w:outlineLvl w:val="0"/>
        <w:rPr>
          <w:rFonts w:ascii="Segoe UI" w:eastAsia="Times New Roman" w:hAnsi="Segoe UI" w:cs="Segoe UI"/>
          <w:b/>
          <w:bCs/>
          <w:color w:val="0F1115"/>
          <w:kern w:val="36"/>
          <w:sz w:val="36"/>
          <w:szCs w:val="36"/>
        </w:rPr>
      </w:pPr>
      <w:r w:rsidRPr="00F23FE4">
        <w:rPr>
          <w:rFonts w:ascii="Segoe UI" w:eastAsia="Times New Roman" w:hAnsi="Segoe UI" w:cs="Segoe UI"/>
          <w:b/>
          <w:bCs/>
          <w:color w:val="0F1115"/>
          <w:kern w:val="36"/>
          <w:sz w:val="36"/>
          <w:szCs w:val="36"/>
        </w:rPr>
        <w:t>Computing Salary, Wage, and Commission</w:t>
      </w:r>
    </w:p>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Introduction: Understanding How People Earn</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 xml:space="preserve">Every day, millions of workers </w:t>
      </w:r>
      <w:r w:rsidR="00C30B96">
        <w:rPr>
          <w:rFonts w:ascii="Segoe UI" w:eastAsia="Times New Roman" w:hAnsi="Segoe UI" w:cs="Segoe UI"/>
          <w:color w:val="0F1115"/>
          <w:sz w:val="24"/>
          <w:szCs w:val="24"/>
        </w:rPr>
        <w:t xml:space="preserve">go to work to </w:t>
      </w:r>
      <w:bookmarkStart w:id="0" w:name="_GoBack"/>
      <w:bookmarkEnd w:id="0"/>
      <w:r w:rsidRPr="00F23FE4">
        <w:rPr>
          <w:rFonts w:ascii="Segoe UI" w:eastAsia="Times New Roman" w:hAnsi="Segoe UI" w:cs="Segoe UI"/>
          <w:color w:val="0F1115"/>
          <w:sz w:val="24"/>
          <w:szCs w:val="24"/>
        </w:rPr>
        <w:t>earn a living. A factory worker operates machinery for an hourly wage. A teacher prepares lessons for a fixed monthly salary. A sales agent closes deals and earns commissions. A freelance sewer completes pieces and gets paid per item. Each of these workers receives income, but the way their earnings are calculated differs significantly.</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Understanding how different types of income are computed is not merely an academic exercise. It is a practical life skill. When a person understands how wages, salaries, commissions, and deductions work, they can make informed decisions about job offers, negotiate fair pay, plan budgets, and evaluate the true value of their earnings. In the Philippines, where many families rely on detailed budgeting to make ends meet, this knowledge is especially valuable.</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This reading material examines the key concepts of salary, wage, commission, and piecework earnings. It also explores the difference between gross income and net income, the mandatory government deductions (SSS, PhilHealth, Pag-IBIG, and withholding tax), and the practical application of these concepts using spreadsheets and manual calculations.</w:t>
      </w:r>
    </w:p>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Part 1: Key Concepts — Salary, Wage, Commission, and Piecework</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Salary</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Definition:</w:t>
      </w:r>
      <w:r w:rsidRPr="00F23FE4">
        <w:rPr>
          <w:rFonts w:ascii="Segoe UI" w:eastAsia="Times New Roman" w:hAnsi="Segoe UI" w:cs="Segoe UI"/>
          <w:color w:val="0F1115"/>
          <w:sz w:val="24"/>
          <w:szCs w:val="24"/>
        </w:rPr>
        <w:t> A fixed regular payment, typically paid monthly, semi-monthly, or weekly, especially for professional, managerial, or administrative positions.</w:t>
      </w:r>
    </w:p>
    <w:tbl>
      <w:tblPr>
        <w:tblW w:w="11280" w:type="dxa"/>
        <w:tblCellMar>
          <w:top w:w="15" w:type="dxa"/>
          <w:left w:w="15" w:type="dxa"/>
          <w:bottom w:w="15" w:type="dxa"/>
          <w:right w:w="15" w:type="dxa"/>
        </w:tblCellMar>
        <w:tblLook w:val="04A0" w:firstRow="1" w:lastRow="0" w:firstColumn="1" w:lastColumn="0" w:noHBand="0" w:noVBand="1"/>
      </w:tblPr>
      <w:tblGrid>
        <w:gridCol w:w="2867"/>
        <w:gridCol w:w="4693"/>
        <w:gridCol w:w="3720"/>
      </w:tblGrid>
      <w:tr w:rsidR="00F23FE4" w:rsidRPr="00F23FE4" w:rsidTr="000279C2">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lastRenderedPageBreak/>
              <w:t>Type of Salary</w:t>
            </w:r>
          </w:p>
        </w:tc>
        <w:tc>
          <w:tcPr>
            <w:tcW w:w="4693"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Definition</w:t>
            </w:r>
          </w:p>
        </w:tc>
        <w:tc>
          <w:tcPr>
            <w:tcW w:w="372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Formula</w:t>
            </w:r>
          </w:p>
        </w:tc>
      </w:tr>
      <w:tr w:rsidR="00F23FE4" w:rsidRPr="00F23FE4" w:rsidTr="000279C2">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Annual Salary</w:t>
            </w:r>
          </w:p>
        </w:tc>
        <w:tc>
          <w:tcPr>
            <w:tcW w:w="4693"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Total amount earned in one year</w:t>
            </w:r>
          </w:p>
        </w:tc>
        <w:tc>
          <w:tcPr>
            <w:tcW w:w="37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Given</w:t>
            </w:r>
          </w:p>
        </w:tc>
      </w:tr>
      <w:tr w:rsidR="00F23FE4" w:rsidRPr="00F23FE4" w:rsidTr="000279C2">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Monthly Salary</w:t>
            </w:r>
          </w:p>
        </w:tc>
        <w:tc>
          <w:tcPr>
            <w:tcW w:w="4693"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Fixed amount earned every month</w:t>
            </w:r>
          </w:p>
        </w:tc>
        <w:tc>
          <w:tcPr>
            <w:tcW w:w="37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Annual Salary ÷ 12</w:t>
            </w:r>
          </w:p>
        </w:tc>
      </w:tr>
      <w:tr w:rsidR="00F23FE4" w:rsidRPr="00F23FE4" w:rsidTr="000279C2">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Semi-monthly Salary</w:t>
            </w:r>
          </w:p>
        </w:tc>
        <w:tc>
          <w:tcPr>
            <w:tcW w:w="4693"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 earned twice a month (every 15 days)</w:t>
            </w:r>
          </w:p>
        </w:tc>
        <w:tc>
          <w:tcPr>
            <w:tcW w:w="37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Monthly Salary ÷ 2</w:t>
            </w:r>
          </w:p>
        </w:tc>
      </w:tr>
      <w:tr w:rsidR="00F23FE4" w:rsidRPr="00F23FE4" w:rsidTr="000279C2">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Weekly Salary</w:t>
            </w:r>
          </w:p>
        </w:tc>
        <w:tc>
          <w:tcPr>
            <w:tcW w:w="4693"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 earned per week</w:t>
            </w:r>
          </w:p>
        </w:tc>
        <w:tc>
          <w:tcPr>
            <w:tcW w:w="37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Annual Salary ÷ 52</w:t>
            </w:r>
          </w:p>
        </w:tc>
      </w:tr>
    </w:tbl>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Example:</w:t>
      </w:r>
      <w:r w:rsidRPr="00F23FE4">
        <w:rPr>
          <w:rFonts w:ascii="Segoe UI" w:eastAsia="Times New Roman" w:hAnsi="Segoe UI" w:cs="Segoe UI"/>
          <w:color w:val="0F1115"/>
          <w:sz w:val="24"/>
          <w:szCs w:val="24"/>
        </w:rPr>
        <w:t> A teacher has an annual salary of ₱384,000. Her monthly salary is ₱384,000 ÷ 12 = ₱32,000. Her weekly salary is ₱384,000 ÷ 52 = ₱7,384.62.</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Wage</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Definition:</w:t>
      </w:r>
      <w:r w:rsidRPr="00F23FE4">
        <w:rPr>
          <w:rFonts w:ascii="Segoe UI" w:eastAsia="Times New Roman" w:hAnsi="Segoe UI" w:cs="Segoe UI"/>
          <w:color w:val="0F1115"/>
          <w:sz w:val="24"/>
          <w:szCs w:val="24"/>
        </w:rPr>
        <w:t> Remuneration or earnings based on time worked — hourly, daily, or weekly — or on tasks completed.</w:t>
      </w:r>
    </w:p>
    <w:tbl>
      <w:tblPr>
        <w:tblW w:w="11280" w:type="dxa"/>
        <w:tblCellMar>
          <w:top w:w="15" w:type="dxa"/>
          <w:left w:w="15" w:type="dxa"/>
          <w:bottom w:w="15" w:type="dxa"/>
          <w:right w:w="15" w:type="dxa"/>
        </w:tblCellMar>
        <w:tblLook w:val="04A0" w:firstRow="1" w:lastRow="0" w:firstColumn="1" w:lastColumn="0" w:noHBand="0" w:noVBand="1"/>
      </w:tblPr>
      <w:tblGrid>
        <w:gridCol w:w="1694"/>
        <w:gridCol w:w="5076"/>
        <w:gridCol w:w="4510"/>
      </w:tblGrid>
      <w:tr w:rsidR="00F23FE4" w:rsidRPr="00F23FE4" w:rsidTr="00F23FE4">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Type of Wage</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Definition</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Formula</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Hourly Wage</w:t>
            </w:r>
          </w:p>
        </w:tc>
        <w:tc>
          <w:tcPr>
            <w:tcW w:w="0" w:type="auto"/>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 earned for each hour worked</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Hourly rate × hours worked</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Daily Wage</w:t>
            </w:r>
          </w:p>
        </w:tc>
        <w:tc>
          <w:tcPr>
            <w:tcW w:w="0" w:type="auto"/>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 earned per day of actual work</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Daily rate × days worked</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Overtime Pay</w:t>
            </w:r>
          </w:p>
        </w:tc>
        <w:tc>
          <w:tcPr>
            <w:tcW w:w="0" w:type="auto"/>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Extra pay for working beyond 8 hours per day</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Regular hourly rate × 1.25 (or as specified)</w:t>
            </w:r>
          </w:p>
        </w:tc>
      </w:tr>
    </w:tbl>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Example:</w:t>
      </w:r>
      <w:r w:rsidRPr="00F23FE4">
        <w:rPr>
          <w:rFonts w:ascii="Segoe UI" w:eastAsia="Times New Roman" w:hAnsi="Segoe UI" w:cs="Segoe UI"/>
          <w:color w:val="0F1115"/>
          <w:sz w:val="24"/>
          <w:szCs w:val="24"/>
        </w:rPr>
        <w:t> A factory worker earns ₱105 per hour and works 40 regular hours. His regular weekly wage is ₱105 × 40 = ₱4,200. If he works 5 overtime hours at 1.25 times his regular rate, his overtime pay is ₱105 × 1.25 × 5 = ₱656.25. His total weekly wage is ₱4,200 + ₱656.25 = ₱4,856.25.</w:t>
      </w:r>
    </w:p>
    <w:p w:rsidR="000279C2" w:rsidRDefault="000279C2">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0279C2" w:rsidRPr="00F23FE4" w:rsidRDefault="000279C2" w:rsidP="000279C2">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lastRenderedPageBreak/>
        <w:t>Piecework</w:t>
      </w:r>
    </w:p>
    <w:p w:rsidR="000279C2" w:rsidRPr="00F23FE4" w:rsidRDefault="000279C2" w:rsidP="000279C2">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Definition:</w:t>
      </w:r>
      <w:r w:rsidRPr="00F23FE4">
        <w:rPr>
          <w:rFonts w:ascii="Segoe UI" w:eastAsia="Times New Roman" w:hAnsi="Segoe UI" w:cs="Segoe UI"/>
          <w:color w:val="0F1115"/>
          <w:sz w:val="24"/>
          <w:szCs w:val="24"/>
        </w:rPr>
        <w:t> Earnings based on the number of items or products completed, regardless of time spent.</w:t>
      </w:r>
    </w:p>
    <w:p w:rsidR="000279C2" w:rsidRPr="00F23FE4" w:rsidRDefault="000279C2" w:rsidP="000279C2">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Formula:</w:t>
      </w:r>
      <w:r w:rsidRPr="00F23FE4">
        <w:rPr>
          <w:rFonts w:ascii="Segoe UI" w:eastAsia="Times New Roman" w:hAnsi="Segoe UI" w:cs="Segoe UI"/>
          <w:color w:val="0F1115"/>
          <w:sz w:val="24"/>
          <w:szCs w:val="24"/>
        </w:rPr>
        <w:t> Piecework earnings = Number of units × rate per unit</w:t>
      </w:r>
    </w:p>
    <w:p w:rsidR="000279C2" w:rsidRPr="00F23FE4" w:rsidRDefault="000279C2" w:rsidP="000279C2">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Example:</w:t>
      </w:r>
      <w:r w:rsidRPr="00F23FE4">
        <w:rPr>
          <w:rFonts w:ascii="Segoe UI" w:eastAsia="Times New Roman" w:hAnsi="Segoe UI" w:cs="Segoe UI"/>
          <w:color w:val="0F1115"/>
          <w:sz w:val="24"/>
          <w:szCs w:val="24"/>
        </w:rPr>
        <w:t> A sewer is paid ₱25 per face mask. She completes 200 masks in a week. Her weekly earnings are ₱25 × 200 = ₱5,000.</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Commission</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Definition:</w:t>
      </w:r>
      <w:r w:rsidRPr="00F23FE4">
        <w:rPr>
          <w:rFonts w:ascii="Segoe UI" w:eastAsia="Times New Roman" w:hAnsi="Segoe UI" w:cs="Segoe UI"/>
          <w:color w:val="0F1115"/>
          <w:sz w:val="24"/>
          <w:szCs w:val="24"/>
        </w:rPr>
        <w:t> Income earned as a percentage of sales made. It can be pure commission (no base salary) or base salary plus commission.</w:t>
      </w:r>
    </w:p>
    <w:tbl>
      <w:tblPr>
        <w:tblW w:w="11280" w:type="dxa"/>
        <w:tblCellMar>
          <w:top w:w="15" w:type="dxa"/>
          <w:left w:w="15" w:type="dxa"/>
          <w:bottom w:w="15" w:type="dxa"/>
          <w:right w:w="15" w:type="dxa"/>
        </w:tblCellMar>
        <w:tblLook w:val="04A0" w:firstRow="1" w:lastRow="0" w:firstColumn="1" w:lastColumn="0" w:noHBand="0" w:noVBand="1"/>
      </w:tblPr>
      <w:tblGrid>
        <w:gridCol w:w="2520"/>
        <w:gridCol w:w="3600"/>
        <w:gridCol w:w="5160"/>
      </w:tblGrid>
      <w:tr w:rsidR="00F23FE4" w:rsidRPr="00F23FE4" w:rsidTr="000279C2">
        <w:trPr>
          <w:tblHeader/>
        </w:trPr>
        <w:tc>
          <w:tcPr>
            <w:tcW w:w="252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Type of Commission</w:t>
            </w:r>
          </w:p>
        </w:tc>
        <w:tc>
          <w:tcPr>
            <w:tcW w:w="360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Definition</w:t>
            </w:r>
          </w:p>
        </w:tc>
        <w:tc>
          <w:tcPr>
            <w:tcW w:w="516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Formula</w:t>
            </w:r>
          </w:p>
        </w:tc>
      </w:tr>
      <w:tr w:rsidR="00F23FE4" w:rsidRPr="00F23FE4" w:rsidTr="000279C2">
        <w:tc>
          <w:tcPr>
            <w:tcW w:w="252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Pure Commission</w:t>
            </w:r>
          </w:p>
        </w:tc>
        <w:tc>
          <w:tcPr>
            <w:tcW w:w="360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Entire income comes from a percentage of sales</w:t>
            </w:r>
          </w:p>
        </w:tc>
        <w:tc>
          <w:tcPr>
            <w:tcW w:w="51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Sales × commission rate</w:t>
            </w:r>
          </w:p>
        </w:tc>
      </w:tr>
      <w:tr w:rsidR="00F23FE4" w:rsidRPr="00F23FE4" w:rsidTr="000279C2">
        <w:tc>
          <w:tcPr>
            <w:tcW w:w="252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Base Salary + Commission</w:t>
            </w:r>
          </w:p>
        </w:tc>
        <w:tc>
          <w:tcPr>
            <w:tcW w:w="360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Fixed salary plus additional percentage of sales</w:t>
            </w:r>
          </w:p>
        </w:tc>
        <w:tc>
          <w:tcPr>
            <w:tcW w:w="51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Base salary + (Sales × commission rate)</w:t>
            </w:r>
          </w:p>
        </w:tc>
      </w:tr>
    </w:tbl>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Example:</w:t>
      </w:r>
      <w:r w:rsidRPr="00F23FE4">
        <w:rPr>
          <w:rFonts w:ascii="Segoe UI" w:eastAsia="Times New Roman" w:hAnsi="Segoe UI" w:cs="Segoe UI"/>
          <w:color w:val="0F1115"/>
          <w:sz w:val="24"/>
          <w:szCs w:val="24"/>
        </w:rPr>
        <w:t> A sales agent earns a ₱7,000 monthly base salary plus 5% commission on total sales. In one month, she sold ₱100,000 worth of products. Her commission is ₱100,000 × 5% = ₱5,000. Her total income</w:t>
      </w:r>
      <w:r w:rsidR="000279C2">
        <w:rPr>
          <w:rFonts w:ascii="Segoe UI" w:eastAsia="Times New Roman" w:hAnsi="Segoe UI" w:cs="Segoe UI"/>
          <w:color w:val="0F1115"/>
          <w:sz w:val="24"/>
          <w:szCs w:val="24"/>
        </w:rPr>
        <w:t xml:space="preserve"> for the month</w:t>
      </w:r>
      <w:r w:rsidRPr="00F23FE4">
        <w:rPr>
          <w:rFonts w:ascii="Segoe UI" w:eastAsia="Times New Roman" w:hAnsi="Segoe UI" w:cs="Segoe UI"/>
          <w:color w:val="0F1115"/>
          <w:sz w:val="24"/>
          <w:szCs w:val="24"/>
        </w:rPr>
        <w:t xml:space="preserve"> is ₱7,000 + ₱5,000 = ₱12,000.</w:t>
      </w:r>
    </w:p>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Part 2: Gross Income vs. Net Income</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Gross Income</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Definition:</w:t>
      </w:r>
      <w:r w:rsidRPr="00F23FE4">
        <w:rPr>
          <w:rFonts w:ascii="Segoe UI" w:eastAsia="Times New Roman" w:hAnsi="Segoe UI" w:cs="Segoe UI"/>
          <w:color w:val="0F1115"/>
          <w:sz w:val="24"/>
          <w:szCs w:val="24"/>
        </w:rPr>
        <w:t> The total earnings before any deductions are made. This includes base salary, overtime pay, commissions, allowances, and bonuses.</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Formula:</w:t>
      </w:r>
      <w:r w:rsidRPr="00F23FE4">
        <w:rPr>
          <w:rFonts w:ascii="Segoe UI" w:eastAsia="Times New Roman" w:hAnsi="Segoe UI" w:cs="Segoe UI"/>
          <w:color w:val="0F1115"/>
          <w:sz w:val="24"/>
          <w:szCs w:val="24"/>
        </w:rPr>
        <w:t> Gross Income = Base Pay + Overtime + Commission + Allowances + Bonuses</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lastRenderedPageBreak/>
        <w:t>Net Income (Take-Home Pay)</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Definition:</w:t>
      </w:r>
      <w:r w:rsidRPr="00F23FE4">
        <w:rPr>
          <w:rFonts w:ascii="Segoe UI" w:eastAsia="Times New Roman" w:hAnsi="Segoe UI" w:cs="Segoe UI"/>
          <w:color w:val="0F1115"/>
          <w:sz w:val="24"/>
          <w:szCs w:val="24"/>
        </w:rPr>
        <w:t> The amount left after all deductions are subtracted from gross income. This is the actual amount received on payday.</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Formula:</w:t>
      </w:r>
      <w:r w:rsidRPr="00F23FE4">
        <w:rPr>
          <w:rFonts w:ascii="Segoe UI" w:eastAsia="Times New Roman" w:hAnsi="Segoe UI" w:cs="Segoe UI"/>
          <w:color w:val="0F1115"/>
          <w:sz w:val="24"/>
          <w:szCs w:val="24"/>
        </w:rPr>
        <w:t> Net Income = Gross Income – Total Deductions</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Key Insight</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The amount stated in an employment contract is often the gross salary — not the amount the employee actually receives. Understanding the difference between gross and net income helps workers plan their budgets realistically and avoid financial surprises.</w:t>
      </w:r>
    </w:p>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Part 3: Mandatory Government Deductions in the Philippines</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In the Philippines, employers are required by law to deduct certain contributions from employees' salaries. These deductions fund social security, healthcare, and housing programs.</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Social Security System (SSS)</w:t>
      </w:r>
    </w:p>
    <w:tbl>
      <w:tblPr>
        <w:tblW w:w="11280" w:type="dxa"/>
        <w:tblCellMar>
          <w:top w:w="15" w:type="dxa"/>
          <w:left w:w="15" w:type="dxa"/>
          <w:bottom w:w="15" w:type="dxa"/>
          <w:right w:w="15" w:type="dxa"/>
        </w:tblCellMar>
        <w:tblLook w:val="04A0" w:firstRow="1" w:lastRow="0" w:firstColumn="1" w:lastColumn="0" w:noHBand="0" w:noVBand="1"/>
      </w:tblPr>
      <w:tblGrid>
        <w:gridCol w:w="3870"/>
        <w:gridCol w:w="7410"/>
      </w:tblGrid>
      <w:tr w:rsidR="00F23FE4" w:rsidRPr="00F23FE4" w:rsidTr="000279C2">
        <w:trPr>
          <w:tblHeader/>
        </w:trPr>
        <w:tc>
          <w:tcPr>
            <w:tcW w:w="387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Feature</w:t>
            </w:r>
          </w:p>
        </w:tc>
        <w:tc>
          <w:tcPr>
            <w:tcW w:w="741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Detail</w:t>
            </w:r>
          </w:p>
        </w:tc>
      </w:tr>
      <w:tr w:rsidR="00F23FE4" w:rsidRPr="00F23FE4" w:rsidTr="000279C2">
        <w:tc>
          <w:tcPr>
            <w:tcW w:w="38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Applicable to</w:t>
            </w:r>
          </w:p>
        </w:tc>
        <w:tc>
          <w:tcPr>
            <w:tcW w:w="741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Private sector employees</w:t>
            </w:r>
          </w:p>
        </w:tc>
      </w:tr>
      <w:tr w:rsidR="00F23FE4" w:rsidRPr="00F23FE4" w:rsidTr="000279C2">
        <w:tc>
          <w:tcPr>
            <w:tcW w:w="38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Purpose</w:t>
            </w:r>
          </w:p>
        </w:tc>
        <w:tc>
          <w:tcPr>
            <w:tcW w:w="741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Retirement, disability, maternity, sickness, and death benefits</w:t>
            </w:r>
          </w:p>
        </w:tc>
      </w:tr>
      <w:tr w:rsidR="00F23FE4" w:rsidRPr="00F23FE4" w:rsidTr="000279C2">
        <w:tc>
          <w:tcPr>
            <w:tcW w:w="38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Employee Share</w:t>
            </w:r>
          </w:p>
        </w:tc>
        <w:tc>
          <w:tcPr>
            <w:tcW w:w="7410" w:type="dxa"/>
            <w:tcMar>
              <w:top w:w="150" w:type="dxa"/>
              <w:left w:w="240" w:type="dxa"/>
              <w:bottom w:w="150" w:type="dxa"/>
              <w:right w:w="0" w:type="dxa"/>
            </w:tcMar>
            <w:vAlign w:val="center"/>
            <w:hideMark/>
          </w:tcPr>
          <w:p w:rsidR="000279C2"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Approximately 5% of monthly salary (subject to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contribution table)</w:t>
            </w:r>
          </w:p>
        </w:tc>
      </w:tr>
      <w:tr w:rsidR="00F23FE4" w:rsidRPr="00F23FE4" w:rsidTr="000279C2">
        <w:tc>
          <w:tcPr>
            <w:tcW w:w="38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Maximum Monthly Contribution</w:t>
            </w:r>
          </w:p>
        </w:tc>
        <w:tc>
          <w:tcPr>
            <w:tcW w:w="741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Varies based on salary bracket</w:t>
            </w:r>
          </w:p>
        </w:tc>
      </w:tr>
    </w:tbl>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lastRenderedPageBreak/>
        <w:t>Government Service Insurance System (GSIS)</w:t>
      </w:r>
    </w:p>
    <w:tbl>
      <w:tblPr>
        <w:tblW w:w="11280" w:type="dxa"/>
        <w:tblCellMar>
          <w:top w:w="15" w:type="dxa"/>
          <w:left w:w="15" w:type="dxa"/>
          <w:bottom w:w="15" w:type="dxa"/>
          <w:right w:w="15" w:type="dxa"/>
        </w:tblCellMar>
        <w:tblLook w:val="04A0" w:firstRow="1" w:lastRow="0" w:firstColumn="1" w:lastColumn="0" w:noHBand="0" w:noVBand="1"/>
      </w:tblPr>
      <w:tblGrid>
        <w:gridCol w:w="2632"/>
        <w:gridCol w:w="8648"/>
      </w:tblGrid>
      <w:tr w:rsidR="00F23FE4" w:rsidRPr="00F23FE4" w:rsidTr="00F23FE4">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Detail</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Applicable to</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Government employees only</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Purpose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Life insurance, retirement, disability, and survivorship benefits</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Employee Share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9% of monthly salary</w:t>
            </w:r>
          </w:p>
        </w:tc>
      </w:tr>
    </w:tbl>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PhilHealth</w:t>
      </w:r>
    </w:p>
    <w:tbl>
      <w:tblPr>
        <w:tblW w:w="11280" w:type="dxa"/>
        <w:tblCellMar>
          <w:top w:w="15" w:type="dxa"/>
          <w:left w:w="15" w:type="dxa"/>
          <w:bottom w:w="15" w:type="dxa"/>
          <w:right w:w="15" w:type="dxa"/>
        </w:tblCellMar>
        <w:tblLook w:val="04A0" w:firstRow="1" w:lastRow="0" w:firstColumn="1" w:lastColumn="0" w:noHBand="0" w:noVBand="1"/>
      </w:tblPr>
      <w:tblGrid>
        <w:gridCol w:w="2467"/>
        <w:gridCol w:w="8813"/>
      </w:tblGrid>
      <w:tr w:rsidR="00F23FE4" w:rsidRPr="00F23FE4" w:rsidTr="00F23FE4">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Detail</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Applicable to</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All employees</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Purpose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Healthcare benefits and hospitalization coverage</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Employee Share</w:t>
            </w:r>
          </w:p>
        </w:tc>
        <w:tc>
          <w:tcPr>
            <w:tcW w:w="0" w:type="auto"/>
            <w:tcMar>
              <w:top w:w="150" w:type="dxa"/>
              <w:left w:w="240" w:type="dxa"/>
              <w:bottom w:w="150" w:type="dxa"/>
              <w:right w:w="0" w:type="dxa"/>
            </w:tcMar>
            <w:vAlign w:val="center"/>
            <w:hideMark/>
          </w:tcPr>
          <w:p w:rsidR="000279C2"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2.5% of monthly salary (the total 5% is shared equally by employee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and employer)</w:t>
            </w:r>
          </w:p>
        </w:tc>
      </w:tr>
    </w:tbl>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Pag-IBIG Fund (HDMF)</w:t>
      </w:r>
    </w:p>
    <w:tbl>
      <w:tblPr>
        <w:tblW w:w="11280" w:type="dxa"/>
        <w:tblCellMar>
          <w:top w:w="15" w:type="dxa"/>
          <w:left w:w="15" w:type="dxa"/>
          <w:bottom w:w="15" w:type="dxa"/>
          <w:right w:w="15" w:type="dxa"/>
        </w:tblCellMar>
        <w:tblLook w:val="04A0" w:firstRow="1" w:lastRow="0" w:firstColumn="1" w:lastColumn="0" w:noHBand="0" w:noVBand="1"/>
      </w:tblPr>
      <w:tblGrid>
        <w:gridCol w:w="2659"/>
        <w:gridCol w:w="8621"/>
      </w:tblGrid>
      <w:tr w:rsidR="00F23FE4" w:rsidRPr="00F23FE4" w:rsidTr="00F23FE4">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Detail</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Applicable to</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All employees</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Purpose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Housing loans, savings, and calamity loans</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Employee Share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 of monthly salary (capped at ₱200 for some salary levels)</w:t>
            </w:r>
          </w:p>
        </w:tc>
      </w:tr>
    </w:tbl>
    <w:p w:rsidR="000279C2" w:rsidRDefault="000279C2" w:rsidP="00F23FE4">
      <w:pPr>
        <w:shd w:val="clear" w:color="auto" w:fill="FFFFFF"/>
        <w:spacing w:before="480" w:after="240" w:line="450" w:lineRule="atLeast"/>
        <w:outlineLvl w:val="2"/>
        <w:rPr>
          <w:rFonts w:ascii="Segoe UI" w:eastAsia="Times New Roman" w:hAnsi="Segoe UI" w:cs="Segoe UI"/>
          <w:b/>
          <w:bCs/>
          <w:color w:val="0F1115"/>
          <w:sz w:val="30"/>
          <w:szCs w:val="30"/>
        </w:rPr>
      </w:pP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lastRenderedPageBreak/>
        <w:t>Withholding Tax (BIR)</w:t>
      </w:r>
    </w:p>
    <w:tbl>
      <w:tblPr>
        <w:tblW w:w="11280" w:type="dxa"/>
        <w:tblCellMar>
          <w:top w:w="15" w:type="dxa"/>
          <w:left w:w="15" w:type="dxa"/>
          <w:bottom w:w="15" w:type="dxa"/>
          <w:right w:w="15" w:type="dxa"/>
        </w:tblCellMar>
        <w:tblLook w:val="04A0" w:firstRow="1" w:lastRow="0" w:firstColumn="1" w:lastColumn="0" w:noHBand="0" w:noVBand="1"/>
      </w:tblPr>
      <w:tblGrid>
        <w:gridCol w:w="2572"/>
        <w:gridCol w:w="8708"/>
      </w:tblGrid>
      <w:tr w:rsidR="00F23FE4" w:rsidRPr="00F23FE4" w:rsidTr="00F23FE4">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Detail</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Applicable to</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All employees earning above the tax threshold</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Purpose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Income tax collected in advance by the employer</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Rate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Based on monthly salary bracket under the TRAIN law</w:t>
            </w:r>
          </w:p>
        </w:tc>
      </w:tr>
    </w:tbl>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Other Deductions (Optional)</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These deductions depend on agreements between the employee and employer:</w:t>
      </w:r>
    </w:p>
    <w:p w:rsidR="00F23FE4" w:rsidRPr="00F23FE4" w:rsidRDefault="00F23FE4" w:rsidP="00F23FE4">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Salary loans</w:t>
      </w:r>
    </w:p>
    <w:p w:rsidR="00F23FE4" w:rsidRPr="00F23FE4" w:rsidRDefault="00F23FE4" w:rsidP="00F23FE4">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Cash advances</w:t>
      </w:r>
    </w:p>
    <w:p w:rsidR="00F23FE4" w:rsidRPr="00F23FE4" w:rsidRDefault="00F23FE4" w:rsidP="00F23FE4">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Insurance premiums</w:t>
      </w:r>
    </w:p>
    <w:p w:rsidR="00F23FE4" w:rsidRPr="00F23FE4" w:rsidRDefault="00F23FE4" w:rsidP="00F23FE4">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Union dues</w:t>
      </w:r>
    </w:p>
    <w:p w:rsidR="00F23FE4" w:rsidRPr="00F23FE4" w:rsidRDefault="00F23FE4" w:rsidP="00F23FE4">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Deductions for absences or tardiness</w:t>
      </w:r>
    </w:p>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Part 4: Computing Net Income — Step-by-Step Examples</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Example 1: Daily Wage Earner</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Scenario:</w:t>
      </w:r>
      <w:r w:rsidRPr="00F23FE4">
        <w:rPr>
          <w:rFonts w:ascii="Segoe UI" w:eastAsia="Times New Roman" w:hAnsi="Segoe UI" w:cs="Segoe UI"/>
          <w:color w:val="0F1115"/>
          <w:sz w:val="24"/>
          <w:szCs w:val="24"/>
        </w:rPr>
        <w:t> Anna works in a factory earning ₱550 per day. She worked 22 days this month.</w:t>
      </w:r>
    </w:p>
    <w:tbl>
      <w:tblPr>
        <w:tblW w:w="11280" w:type="dxa"/>
        <w:tblCellMar>
          <w:top w:w="15" w:type="dxa"/>
          <w:left w:w="15" w:type="dxa"/>
          <w:bottom w:w="15" w:type="dxa"/>
          <w:right w:w="15" w:type="dxa"/>
        </w:tblCellMar>
        <w:tblLook w:val="04A0" w:firstRow="1" w:lastRow="0" w:firstColumn="1" w:lastColumn="0" w:noHBand="0" w:noVBand="1"/>
      </w:tblPr>
      <w:tblGrid>
        <w:gridCol w:w="2970"/>
        <w:gridCol w:w="3690"/>
        <w:gridCol w:w="4620"/>
      </w:tblGrid>
      <w:tr w:rsidR="00F23FE4" w:rsidRPr="00F23FE4" w:rsidTr="000279C2">
        <w:trPr>
          <w:tblHeader/>
        </w:trPr>
        <w:tc>
          <w:tcPr>
            <w:tcW w:w="297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Step</w:t>
            </w:r>
          </w:p>
        </w:tc>
        <w:tc>
          <w:tcPr>
            <w:tcW w:w="369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Computation</w:t>
            </w:r>
          </w:p>
        </w:tc>
        <w:tc>
          <w:tcPr>
            <w:tcW w:w="462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Gross Income</w:t>
            </w:r>
          </w:p>
        </w:tc>
        <w:tc>
          <w:tcPr>
            <w:tcW w:w="369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₱550 × 22 days</w:t>
            </w:r>
          </w:p>
        </w:tc>
        <w:tc>
          <w:tcPr>
            <w:tcW w:w="46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₱12,100.00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SSS (5%)</w:t>
            </w:r>
          </w:p>
        </w:tc>
        <w:tc>
          <w:tcPr>
            <w:tcW w:w="369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₱12,100 × 5%</w:t>
            </w:r>
          </w:p>
        </w:tc>
        <w:tc>
          <w:tcPr>
            <w:tcW w:w="46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₱605.00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lastRenderedPageBreak/>
              <w:t>PhilHealth (2.5%)</w:t>
            </w:r>
          </w:p>
        </w:tc>
        <w:tc>
          <w:tcPr>
            <w:tcW w:w="369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₱12,100 × 2.5%</w:t>
            </w:r>
          </w:p>
        </w:tc>
        <w:tc>
          <w:tcPr>
            <w:tcW w:w="46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₱302.50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Pag-IBIG (2%, capped)</w:t>
            </w:r>
          </w:p>
        </w:tc>
        <w:tc>
          <w:tcPr>
            <w:tcW w:w="369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₱12,100 × 2% (capped at ₱200)</w:t>
            </w:r>
          </w:p>
        </w:tc>
        <w:tc>
          <w:tcPr>
            <w:tcW w:w="46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Withholding Tax</w:t>
            </w:r>
          </w:p>
        </w:tc>
        <w:tc>
          <w:tcPr>
            <w:tcW w:w="369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Exempted (below taxable threshold)</w:t>
            </w:r>
          </w:p>
        </w:tc>
        <w:tc>
          <w:tcPr>
            <w:tcW w:w="46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₱0.00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Total Deductions</w:t>
            </w:r>
          </w:p>
        </w:tc>
        <w:tc>
          <w:tcPr>
            <w:tcW w:w="369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Sum of deductions</w:t>
            </w:r>
          </w:p>
        </w:tc>
        <w:tc>
          <w:tcPr>
            <w:tcW w:w="46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₱1,107.50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Net Income</w:t>
            </w:r>
          </w:p>
        </w:tc>
        <w:tc>
          <w:tcPr>
            <w:tcW w:w="369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Gross Income – Deductions</w:t>
            </w:r>
          </w:p>
        </w:tc>
        <w:tc>
          <w:tcPr>
            <w:tcW w:w="462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₱10,992.50</w:t>
            </w:r>
          </w:p>
        </w:tc>
      </w:tr>
    </w:tbl>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Example 2: Hourly Wage with Overtime</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Scenario:</w:t>
      </w:r>
      <w:r w:rsidRPr="00F23FE4">
        <w:rPr>
          <w:rFonts w:ascii="Segoe UI" w:eastAsia="Times New Roman" w:hAnsi="Segoe UI" w:cs="Segoe UI"/>
          <w:color w:val="0F1115"/>
          <w:sz w:val="24"/>
          <w:szCs w:val="24"/>
        </w:rPr>
        <w:t> James earns ₱75 per hour. He worked 160 regular hours and 10 overtime hours (paid at 125% of regular rate).</w:t>
      </w:r>
    </w:p>
    <w:tbl>
      <w:tblPr>
        <w:tblW w:w="11280" w:type="dxa"/>
        <w:tblCellMar>
          <w:top w:w="15" w:type="dxa"/>
          <w:left w:w="15" w:type="dxa"/>
          <w:bottom w:w="15" w:type="dxa"/>
          <w:right w:w="15" w:type="dxa"/>
        </w:tblCellMar>
        <w:tblLook w:val="04A0" w:firstRow="1" w:lastRow="0" w:firstColumn="1" w:lastColumn="0" w:noHBand="0" w:noVBand="1"/>
      </w:tblPr>
      <w:tblGrid>
        <w:gridCol w:w="2970"/>
        <w:gridCol w:w="3780"/>
        <w:gridCol w:w="4530"/>
      </w:tblGrid>
      <w:tr w:rsidR="00F23FE4" w:rsidRPr="00F23FE4" w:rsidTr="000279C2">
        <w:trPr>
          <w:tblHeader/>
        </w:trPr>
        <w:tc>
          <w:tcPr>
            <w:tcW w:w="297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Step</w:t>
            </w:r>
          </w:p>
        </w:tc>
        <w:tc>
          <w:tcPr>
            <w:tcW w:w="378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Computation</w:t>
            </w:r>
          </w:p>
        </w:tc>
        <w:tc>
          <w:tcPr>
            <w:tcW w:w="453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Regular Pay</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160 hours × ₱75</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₱12,000.00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Overtime Pay</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10 hours × (₱75 × 1.25)</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₱937.50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Gross Income</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Regular Pay + Overtime Pay</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₱12,937.50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SSS (5%)</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₱12,000 × 5%</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₱600.00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PhilHealth (2.5%)</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₱12,000 × 2.5%</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₱300.00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Pag-IBIG (2%)</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₱12,000 × 2% (capped)</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Withholding Tax</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Exempted</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₱0.00</w:t>
            </w:r>
          </w:p>
        </w:tc>
      </w:tr>
      <w:tr w:rsidR="00F23FE4" w:rsidRPr="00F23FE4" w:rsidTr="000279C2">
        <w:tc>
          <w:tcPr>
            <w:tcW w:w="297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Total Deductions</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Sum of deductions</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₱1,100.00</w:t>
            </w:r>
          </w:p>
        </w:tc>
      </w:tr>
      <w:tr w:rsidR="00F23FE4" w:rsidRPr="00F23FE4" w:rsidTr="000279C2">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lastRenderedPageBreak/>
              <w:t>Net Income</w:t>
            </w:r>
          </w:p>
        </w:tc>
        <w:tc>
          <w:tcPr>
            <w:tcW w:w="3213"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Gross Income – Deductions</w:t>
            </w:r>
          </w:p>
        </w:tc>
        <w:tc>
          <w:tcPr>
            <w:tcW w:w="453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₱11,837.50</w:t>
            </w:r>
          </w:p>
        </w:tc>
      </w:tr>
    </w:tbl>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Example 3: Base Salary with Commission</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Scenario:</w:t>
      </w:r>
      <w:r w:rsidRPr="00F23FE4">
        <w:rPr>
          <w:rFonts w:ascii="Segoe UI" w:eastAsia="Times New Roman" w:hAnsi="Segoe UI" w:cs="Segoe UI"/>
          <w:color w:val="0F1115"/>
          <w:sz w:val="24"/>
          <w:szCs w:val="24"/>
        </w:rPr>
        <w:t> Ariel earns a base salary of ₱10,000 plus 10% commission on ₱80,000 in sales.</w:t>
      </w:r>
    </w:p>
    <w:tbl>
      <w:tblPr>
        <w:tblW w:w="11280" w:type="dxa"/>
        <w:tblCellMar>
          <w:top w:w="15" w:type="dxa"/>
          <w:left w:w="15" w:type="dxa"/>
          <w:bottom w:w="15" w:type="dxa"/>
          <w:right w:w="15" w:type="dxa"/>
        </w:tblCellMar>
        <w:tblLook w:val="04A0" w:firstRow="1" w:lastRow="0" w:firstColumn="1" w:lastColumn="0" w:noHBand="0" w:noVBand="1"/>
      </w:tblPr>
      <w:tblGrid>
        <w:gridCol w:w="3060"/>
        <w:gridCol w:w="3960"/>
        <w:gridCol w:w="4260"/>
      </w:tblGrid>
      <w:tr w:rsidR="00F23FE4" w:rsidRPr="00F23FE4" w:rsidTr="000279C2">
        <w:trPr>
          <w:tblHeader/>
        </w:trPr>
        <w:tc>
          <w:tcPr>
            <w:tcW w:w="306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Step</w:t>
            </w:r>
          </w:p>
        </w:tc>
        <w:tc>
          <w:tcPr>
            <w:tcW w:w="396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Computation</w:t>
            </w:r>
          </w:p>
        </w:tc>
        <w:tc>
          <w:tcPr>
            <w:tcW w:w="426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Base Salary</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Given</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₱10,000.00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Commission</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₱80,000 × 10%</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₱8,000.00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Gross Income</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Base Salary + Commission</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₱18,000.00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SSS (5%)</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₱18,000 × 5%</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₱900.00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PhilHealth (2.5%)</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₱18,000 × 2.5%</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₱450.00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Pag-IBIG (2%)</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₱18,000 × 2% (capped)</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Withholding Tax</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Exempted</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Total Deductions</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Sum of deductions</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₱1,550.00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Net Income</w:t>
            </w:r>
          </w:p>
        </w:tc>
        <w:tc>
          <w:tcPr>
            <w:tcW w:w="39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Gross Income – Deductions</w:t>
            </w:r>
          </w:p>
        </w:tc>
        <w:tc>
          <w:tcPr>
            <w:tcW w:w="426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₱16,450.00</w:t>
            </w:r>
          </w:p>
        </w:tc>
      </w:tr>
    </w:tbl>
    <w:p w:rsidR="000279C2" w:rsidRDefault="000279C2" w:rsidP="00F23FE4">
      <w:pPr>
        <w:shd w:val="clear" w:color="auto" w:fill="FFFFFF"/>
        <w:spacing w:before="480" w:after="240" w:line="450" w:lineRule="atLeast"/>
        <w:outlineLvl w:val="2"/>
        <w:rPr>
          <w:rFonts w:ascii="Segoe UI" w:eastAsia="Times New Roman" w:hAnsi="Segoe UI" w:cs="Segoe UI"/>
          <w:b/>
          <w:bCs/>
          <w:color w:val="0F1115"/>
          <w:sz w:val="30"/>
          <w:szCs w:val="30"/>
        </w:rPr>
      </w:pPr>
    </w:p>
    <w:p w:rsidR="000279C2" w:rsidRDefault="000279C2">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lastRenderedPageBreak/>
        <w:t>Example 4: Government Employee with GSIS and Loan</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Scenario:</w:t>
      </w:r>
      <w:r w:rsidRPr="00F23FE4">
        <w:rPr>
          <w:rFonts w:ascii="Segoe UI" w:eastAsia="Times New Roman" w:hAnsi="Segoe UI" w:cs="Segoe UI"/>
          <w:color w:val="0F1115"/>
          <w:sz w:val="24"/>
          <w:szCs w:val="24"/>
        </w:rPr>
        <w:t> Carla is a government employee with a monthly salary of ₱38,150, a ₱2,000 non-taxable allowance, and a ₱4,000 monthly GSIS loan.</w:t>
      </w:r>
    </w:p>
    <w:tbl>
      <w:tblPr>
        <w:tblW w:w="11280" w:type="dxa"/>
        <w:tblCellMar>
          <w:top w:w="15" w:type="dxa"/>
          <w:left w:w="15" w:type="dxa"/>
          <w:bottom w:w="15" w:type="dxa"/>
          <w:right w:w="15" w:type="dxa"/>
        </w:tblCellMar>
        <w:tblLook w:val="04A0" w:firstRow="1" w:lastRow="0" w:firstColumn="1" w:lastColumn="0" w:noHBand="0" w:noVBand="1"/>
      </w:tblPr>
      <w:tblGrid>
        <w:gridCol w:w="3060"/>
        <w:gridCol w:w="3780"/>
        <w:gridCol w:w="4440"/>
      </w:tblGrid>
      <w:tr w:rsidR="00F23FE4" w:rsidRPr="00F23FE4" w:rsidTr="000279C2">
        <w:trPr>
          <w:tblHeader/>
        </w:trPr>
        <w:tc>
          <w:tcPr>
            <w:tcW w:w="306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Step</w:t>
            </w:r>
          </w:p>
        </w:tc>
        <w:tc>
          <w:tcPr>
            <w:tcW w:w="378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Computation</w:t>
            </w:r>
          </w:p>
        </w:tc>
        <w:tc>
          <w:tcPr>
            <w:tcW w:w="444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Regular Salary</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Given</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₱38,150.00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Allowance</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Given (non-taxable)</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Gross Income</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Salary + Allowance</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₱40,150.00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GSIS (9%)</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₱38,150 × 9%</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₱3,433.50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PhilHealth (2.5%)</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₱38,150 × 2.5%</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₱953.75</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Pag-IBIG (2%)</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₱38,150 × 2% (capped)</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GSIS Loan</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Given</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₱4,000.00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Withholding Tax</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₱38,150 × 4% (estimated)</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₱1,526.00</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Total Deductions</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Sum of deductions</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₱10,113.25</w:t>
            </w:r>
          </w:p>
        </w:tc>
      </w:tr>
      <w:tr w:rsidR="00F23FE4" w:rsidRPr="00F23FE4" w:rsidTr="000279C2">
        <w:tc>
          <w:tcPr>
            <w:tcW w:w="306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Net Income</w:t>
            </w:r>
          </w:p>
        </w:tc>
        <w:tc>
          <w:tcPr>
            <w:tcW w:w="378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Gross Income – Deductions</w:t>
            </w:r>
          </w:p>
        </w:tc>
        <w:tc>
          <w:tcPr>
            <w:tcW w:w="444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₱30,036.75</w:t>
            </w:r>
          </w:p>
        </w:tc>
      </w:tr>
    </w:tbl>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Part 5: Understanding a Payslip</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A payslip (or pay stub) is a document that shows an employee's earnings and deductions for a specific pay period.</w:t>
      </w:r>
    </w:p>
    <w:p w:rsidR="000279C2" w:rsidRDefault="000279C2">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lastRenderedPageBreak/>
        <w:t>Key Components of a Payslip</w:t>
      </w:r>
    </w:p>
    <w:tbl>
      <w:tblPr>
        <w:tblW w:w="11280" w:type="dxa"/>
        <w:tblCellMar>
          <w:top w:w="15" w:type="dxa"/>
          <w:left w:w="15" w:type="dxa"/>
          <w:bottom w:w="15" w:type="dxa"/>
          <w:right w:w="15" w:type="dxa"/>
        </w:tblCellMar>
        <w:tblLook w:val="04A0" w:firstRow="1" w:lastRow="0" w:firstColumn="1" w:lastColumn="0" w:noHBand="0" w:noVBand="1"/>
      </w:tblPr>
      <w:tblGrid>
        <w:gridCol w:w="3599"/>
        <w:gridCol w:w="7681"/>
      </w:tblGrid>
      <w:tr w:rsidR="00F23FE4" w:rsidRPr="00F23FE4" w:rsidTr="00F23FE4">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Component</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Description</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Employee Information</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Name, employee number, position</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Pay Period</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The dates covered by the payslip</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Gross Income</w:t>
            </w:r>
          </w:p>
        </w:tc>
        <w:tc>
          <w:tcPr>
            <w:tcW w:w="0" w:type="auto"/>
            <w:tcMar>
              <w:top w:w="150" w:type="dxa"/>
              <w:left w:w="240" w:type="dxa"/>
              <w:bottom w:w="150" w:type="dxa"/>
              <w:right w:w="0" w:type="dxa"/>
            </w:tcMar>
            <w:vAlign w:val="center"/>
            <w:hideMark/>
          </w:tcPr>
          <w:p w:rsidR="000279C2"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Total earnings before deductions (base pay, overtime,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allowances, commissions)</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Deductions</w:t>
            </w:r>
          </w:p>
        </w:tc>
        <w:tc>
          <w:tcPr>
            <w:tcW w:w="0" w:type="auto"/>
            <w:tcMar>
              <w:top w:w="150" w:type="dxa"/>
              <w:left w:w="240" w:type="dxa"/>
              <w:bottom w:w="150" w:type="dxa"/>
              <w:right w:w="0" w:type="dxa"/>
            </w:tcMar>
            <w:vAlign w:val="center"/>
            <w:hideMark/>
          </w:tcPr>
          <w:p w:rsidR="000279C2"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Amounts subtracted from gross pay (SSS, PhilHealth,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Pag-IBIG, tax, loans)</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Net Income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Take-home pay — the amount actually received</w:t>
            </w:r>
          </w:p>
        </w:tc>
      </w:tr>
    </w:tbl>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Sample Payslip</w:t>
      </w:r>
    </w:p>
    <w:tbl>
      <w:tblPr>
        <w:tblW w:w="11280" w:type="dxa"/>
        <w:tblCellMar>
          <w:top w:w="15" w:type="dxa"/>
          <w:left w:w="15" w:type="dxa"/>
          <w:bottom w:w="15" w:type="dxa"/>
          <w:right w:w="15" w:type="dxa"/>
        </w:tblCellMar>
        <w:tblLook w:val="04A0" w:firstRow="1" w:lastRow="0" w:firstColumn="1" w:lastColumn="0" w:noHBand="0" w:noVBand="1"/>
      </w:tblPr>
      <w:tblGrid>
        <w:gridCol w:w="6161"/>
        <w:gridCol w:w="5119"/>
      </w:tblGrid>
      <w:tr w:rsidR="00F23FE4" w:rsidRPr="00F23FE4" w:rsidTr="00F23FE4">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Amount (₱)</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Gross Income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20,000.00</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Less Deductions</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Withholding Tax</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1,500.00</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SSS Contribution</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800.00</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PhilHealth</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300.00</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Pag-IBIG</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200.00</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Net Income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17,200.00</w:t>
            </w:r>
          </w:p>
        </w:tc>
      </w:tr>
    </w:tbl>
    <w:p w:rsidR="000279C2" w:rsidRDefault="000279C2" w:rsidP="00F23FE4">
      <w:pPr>
        <w:spacing w:before="480" w:after="480" w:line="240" w:lineRule="auto"/>
        <w:rPr>
          <w:rFonts w:ascii="Times New Roman" w:eastAsia="Times New Roman" w:hAnsi="Times New Roman" w:cs="Times New Roman"/>
          <w:sz w:val="24"/>
          <w:szCs w:val="24"/>
        </w:rPr>
      </w:pPr>
    </w:p>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1"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Part 6: Using Spreadsheets for Payroll Computation</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Spreadsheets (Microsoft Excel or Google Sheets) are powerful tools for computing salaries, wages, and commissions. They allow users to create formulas that automatically calculate values, reducing errors and saving time.</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Basic Spreadsheet Formulas</w:t>
      </w:r>
    </w:p>
    <w:tbl>
      <w:tblPr>
        <w:tblW w:w="11280" w:type="dxa"/>
        <w:tblCellMar>
          <w:top w:w="15" w:type="dxa"/>
          <w:left w:w="15" w:type="dxa"/>
          <w:bottom w:w="15" w:type="dxa"/>
          <w:right w:w="15" w:type="dxa"/>
        </w:tblCellMar>
        <w:tblLook w:val="04A0" w:firstRow="1" w:lastRow="0" w:firstColumn="1" w:lastColumn="0" w:noHBand="0" w:noVBand="1"/>
      </w:tblPr>
      <w:tblGrid>
        <w:gridCol w:w="4316"/>
        <w:gridCol w:w="6964"/>
      </w:tblGrid>
      <w:tr w:rsidR="00F23FE4" w:rsidRPr="00F23FE4" w:rsidTr="00F23FE4">
        <w:trPr>
          <w:tblHeader/>
        </w:trPr>
        <w:tc>
          <w:tcPr>
            <w:tcW w:w="0" w:type="auto"/>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Operation</w:t>
            </w:r>
          </w:p>
        </w:tc>
        <w:tc>
          <w:tcPr>
            <w:tcW w:w="0" w:type="auto"/>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Formula in Excel/Sheets</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Multiplication</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=A1*B1</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Division</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=A1/B1</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Percentage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=A1*0.05</w:t>
            </w:r>
            <w:r w:rsidRPr="00F23FE4">
              <w:rPr>
                <w:rFonts w:ascii="Segoe UI" w:eastAsia="Times New Roman" w:hAnsi="Segoe UI" w:cs="Segoe UI"/>
                <w:sz w:val="23"/>
                <w:szCs w:val="23"/>
              </w:rPr>
              <w:t> (for 5%)</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Sum of a range</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=SUM(A1:A10)</w:t>
            </w:r>
          </w:p>
        </w:tc>
      </w:tr>
      <w:tr w:rsidR="00F23FE4" w:rsidRPr="00F23FE4" w:rsidTr="00F23FE4">
        <w:tc>
          <w:tcPr>
            <w:tcW w:w="0" w:type="auto"/>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Subtraction</w:t>
            </w:r>
          </w:p>
        </w:tc>
        <w:tc>
          <w:tcPr>
            <w:tcW w:w="0" w:type="auto"/>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=A1-B1</w:t>
            </w:r>
          </w:p>
        </w:tc>
      </w:tr>
    </w:tbl>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Example: Computing Net Pay Using a Spreadsheet</w:t>
      </w:r>
    </w:p>
    <w:tbl>
      <w:tblPr>
        <w:tblW w:w="11280" w:type="dxa"/>
        <w:tblCellMar>
          <w:top w:w="15" w:type="dxa"/>
          <w:left w:w="15" w:type="dxa"/>
          <w:bottom w:w="15" w:type="dxa"/>
          <w:right w:w="15" w:type="dxa"/>
        </w:tblCellMar>
        <w:tblLook w:val="04A0" w:firstRow="1" w:lastRow="0" w:firstColumn="1" w:lastColumn="0" w:noHBand="0" w:noVBand="1"/>
      </w:tblPr>
      <w:tblGrid>
        <w:gridCol w:w="1440"/>
        <w:gridCol w:w="3060"/>
        <w:gridCol w:w="6780"/>
      </w:tblGrid>
      <w:tr w:rsidR="00F23FE4" w:rsidRPr="00F23FE4" w:rsidTr="004A3828">
        <w:trPr>
          <w:tblHeader/>
        </w:trPr>
        <w:tc>
          <w:tcPr>
            <w:tcW w:w="144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w:t>
            </w:r>
          </w:p>
        </w:tc>
        <w:tc>
          <w:tcPr>
            <w:tcW w:w="306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B</w:t>
            </w:r>
          </w:p>
        </w:tc>
        <w:tc>
          <w:tcPr>
            <w:tcW w:w="678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C</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Item</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Amount (₱)</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Daily Rate</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550</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Days Worked</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22</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4</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Gross Income</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=B2*B3</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5</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SSS (5%)</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=B4*0.05</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lastRenderedPageBreak/>
              <w:t>6</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PhilHealth (2.5%)</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=B4*0.025</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7</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Pag-IBIG (2%, capped)</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=MIN(B4*0.02,200)</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8</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Withholding Tax</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0</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9</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Total Deductions</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=SUM(B5:B8)</w:t>
            </w:r>
          </w:p>
        </w:tc>
      </w:tr>
      <w:tr w:rsidR="00F23FE4" w:rsidRPr="00F23FE4" w:rsidTr="004A3828">
        <w:tc>
          <w:tcPr>
            <w:tcW w:w="14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10</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Net Income</w:t>
            </w:r>
          </w:p>
        </w:tc>
        <w:tc>
          <w:tcPr>
            <w:tcW w:w="67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Consolas" w:eastAsia="Times New Roman" w:hAnsi="Consolas" w:cs="Courier New"/>
                <w:sz w:val="20"/>
                <w:szCs w:val="20"/>
                <w:shd w:val="clear" w:color="auto" w:fill="EBEEF2"/>
              </w:rPr>
              <w:t>=B4-B9</w:t>
            </w:r>
          </w:p>
        </w:tc>
      </w:tr>
    </w:tbl>
    <w:p w:rsidR="004A3828" w:rsidRDefault="004A3828" w:rsidP="00F23FE4">
      <w:pPr>
        <w:spacing w:before="480" w:after="480" w:line="240" w:lineRule="auto"/>
        <w:rPr>
          <w:rFonts w:ascii="Times New Roman" w:eastAsia="Times New Roman" w:hAnsi="Times New Roman" w:cs="Times New Roman"/>
          <w:sz w:val="24"/>
          <w:szCs w:val="24"/>
        </w:rPr>
      </w:pPr>
    </w:p>
    <w:p w:rsidR="004A3828" w:rsidRDefault="004A38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2"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Part 7: Comparing Job Offers — Which Is Better?</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When evaluating job offers, it is important to compare not just the stated salary but the total compensation package, including allowances, bonuses, and benefits.</w:t>
      </w:r>
    </w:p>
    <w:p w:rsidR="00F23FE4" w:rsidRPr="00F23FE4" w:rsidRDefault="00F23FE4" w:rsidP="00F23FE4">
      <w:pPr>
        <w:shd w:val="clear" w:color="auto" w:fill="FFFFFF"/>
        <w:spacing w:before="480" w:after="240" w:line="450" w:lineRule="atLeast"/>
        <w:outlineLvl w:val="2"/>
        <w:rPr>
          <w:rFonts w:ascii="Segoe UI" w:eastAsia="Times New Roman" w:hAnsi="Segoe UI" w:cs="Segoe UI"/>
          <w:b/>
          <w:bCs/>
          <w:color w:val="0F1115"/>
          <w:sz w:val="30"/>
          <w:szCs w:val="30"/>
        </w:rPr>
      </w:pPr>
      <w:r w:rsidRPr="00F23FE4">
        <w:rPr>
          <w:rFonts w:ascii="Segoe UI" w:eastAsia="Times New Roman" w:hAnsi="Segoe UI" w:cs="Segoe UI"/>
          <w:b/>
          <w:bCs/>
          <w:color w:val="0F1115"/>
          <w:sz w:val="30"/>
          <w:szCs w:val="30"/>
        </w:rPr>
        <w:t>Example: Job Offer Comparison</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Job A:</w:t>
      </w:r>
      <w:r w:rsidRPr="00F23FE4">
        <w:rPr>
          <w:rFonts w:ascii="Segoe UI" w:eastAsia="Times New Roman" w:hAnsi="Segoe UI" w:cs="Segoe UI"/>
          <w:color w:val="0F1115"/>
          <w:sz w:val="24"/>
          <w:szCs w:val="24"/>
        </w:rPr>
        <w:t> ₱25,000 monthly salary + ₱3,000 allowance</w:t>
      </w:r>
      <w:r w:rsidRPr="00F23FE4">
        <w:rPr>
          <w:rFonts w:ascii="Segoe UI" w:eastAsia="Times New Roman" w:hAnsi="Segoe UI" w:cs="Segoe UI"/>
          <w:color w:val="0F1115"/>
          <w:sz w:val="24"/>
          <w:szCs w:val="24"/>
        </w:rPr>
        <w:br/>
      </w:r>
      <w:r w:rsidRPr="00F23FE4">
        <w:rPr>
          <w:rFonts w:ascii="Segoe UI" w:eastAsia="Times New Roman" w:hAnsi="Segoe UI" w:cs="Segoe UI"/>
          <w:b/>
          <w:bCs/>
          <w:color w:val="0F1115"/>
          <w:sz w:val="24"/>
          <w:szCs w:val="24"/>
        </w:rPr>
        <w:t>Job B:</w:t>
      </w:r>
      <w:r w:rsidRPr="00F23FE4">
        <w:rPr>
          <w:rFonts w:ascii="Segoe UI" w:eastAsia="Times New Roman" w:hAnsi="Segoe UI" w:cs="Segoe UI"/>
          <w:color w:val="0F1115"/>
          <w:sz w:val="24"/>
          <w:szCs w:val="24"/>
        </w:rPr>
        <w:t> ₱28,000 monthly salary, no allowance</w:t>
      </w:r>
    </w:p>
    <w:tbl>
      <w:tblPr>
        <w:tblW w:w="11280" w:type="dxa"/>
        <w:tblCellMar>
          <w:top w:w="15" w:type="dxa"/>
          <w:left w:w="15" w:type="dxa"/>
          <w:bottom w:w="15" w:type="dxa"/>
          <w:right w:w="15" w:type="dxa"/>
        </w:tblCellMar>
        <w:tblLook w:val="04A0" w:firstRow="1" w:lastRow="0" w:firstColumn="1" w:lastColumn="0" w:noHBand="0" w:noVBand="1"/>
      </w:tblPr>
      <w:tblGrid>
        <w:gridCol w:w="3240"/>
        <w:gridCol w:w="3060"/>
        <w:gridCol w:w="4980"/>
      </w:tblGrid>
      <w:tr w:rsidR="00F23FE4" w:rsidRPr="00F23FE4" w:rsidTr="004A3828">
        <w:trPr>
          <w:tblHeader/>
        </w:trPr>
        <w:tc>
          <w:tcPr>
            <w:tcW w:w="324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Item</w:t>
            </w:r>
          </w:p>
        </w:tc>
        <w:tc>
          <w:tcPr>
            <w:tcW w:w="306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Job A</w:t>
            </w:r>
          </w:p>
        </w:tc>
        <w:tc>
          <w:tcPr>
            <w:tcW w:w="498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Job B</w:t>
            </w:r>
          </w:p>
        </w:tc>
      </w:tr>
      <w:tr w:rsidR="00F23FE4" w:rsidRPr="00F23FE4" w:rsidTr="004A3828">
        <w:tc>
          <w:tcPr>
            <w:tcW w:w="32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Gross Income</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₱28,000</w:t>
            </w:r>
          </w:p>
        </w:tc>
        <w:tc>
          <w:tcPr>
            <w:tcW w:w="49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₱28,000</w:t>
            </w:r>
          </w:p>
        </w:tc>
      </w:tr>
      <w:tr w:rsidR="00F23FE4" w:rsidRPr="00F23FE4" w:rsidTr="004A3828">
        <w:tc>
          <w:tcPr>
            <w:tcW w:w="32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SSS (5%)</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₱1,250</w:t>
            </w:r>
          </w:p>
        </w:tc>
        <w:tc>
          <w:tcPr>
            <w:tcW w:w="49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₱1,400</w:t>
            </w:r>
          </w:p>
        </w:tc>
      </w:tr>
      <w:tr w:rsidR="00F23FE4" w:rsidRPr="00F23FE4" w:rsidTr="004A3828">
        <w:tc>
          <w:tcPr>
            <w:tcW w:w="32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PhilHealth (2.5%)</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₱625</w:t>
            </w:r>
          </w:p>
        </w:tc>
        <w:tc>
          <w:tcPr>
            <w:tcW w:w="49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₱700</w:t>
            </w:r>
          </w:p>
        </w:tc>
      </w:tr>
      <w:tr w:rsidR="00F23FE4" w:rsidRPr="00F23FE4" w:rsidTr="004A3828">
        <w:tc>
          <w:tcPr>
            <w:tcW w:w="32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Pag-IBIG (2%)</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w:t>
            </w:r>
          </w:p>
        </w:tc>
        <w:tc>
          <w:tcPr>
            <w:tcW w:w="49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₱200</w:t>
            </w:r>
          </w:p>
        </w:tc>
      </w:tr>
      <w:tr w:rsidR="00F23FE4" w:rsidRPr="00F23FE4" w:rsidTr="004A3828">
        <w:tc>
          <w:tcPr>
            <w:tcW w:w="32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Withholding Tax</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₱450 (approx.)</w:t>
            </w:r>
          </w:p>
        </w:tc>
        <w:tc>
          <w:tcPr>
            <w:tcW w:w="49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₱980 (approx.)</w:t>
            </w:r>
          </w:p>
        </w:tc>
      </w:tr>
      <w:tr w:rsidR="00F23FE4" w:rsidRPr="00F23FE4" w:rsidTr="004A3828">
        <w:tc>
          <w:tcPr>
            <w:tcW w:w="32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Total Deductions</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₱2,525</w:t>
            </w:r>
          </w:p>
        </w:tc>
        <w:tc>
          <w:tcPr>
            <w:tcW w:w="49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₱3,280</w:t>
            </w:r>
          </w:p>
        </w:tc>
      </w:tr>
      <w:tr w:rsidR="00F23FE4" w:rsidRPr="00F23FE4" w:rsidTr="004A3828">
        <w:tc>
          <w:tcPr>
            <w:tcW w:w="324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Net Income</w:t>
            </w:r>
          </w:p>
        </w:tc>
        <w:tc>
          <w:tcPr>
            <w:tcW w:w="3060" w:type="dxa"/>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₱25,475</w:t>
            </w:r>
          </w:p>
        </w:tc>
        <w:tc>
          <w:tcPr>
            <w:tcW w:w="498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₱24,720</w:t>
            </w:r>
          </w:p>
        </w:tc>
      </w:tr>
    </w:tbl>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Conclusion:</w:t>
      </w:r>
      <w:r w:rsidRPr="00F23FE4">
        <w:rPr>
          <w:rFonts w:ascii="Segoe UI" w:eastAsia="Times New Roman" w:hAnsi="Segoe UI" w:cs="Segoe UI"/>
          <w:color w:val="0F1115"/>
          <w:sz w:val="24"/>
          <w:szCs w:val="24"/>
        </w:rPr>
        <w:t> Job A provides higher net income because the allowance is not subject to the same deductions as the base salary. However, other factors should also be considered: job security, career growth, work environment, commute time, and benefits (leave credits, health insurance, retirement plans).</w:t>
      </w:r>
    </w:p>
    <w:p w:rsidR="004A3828" w:rsidRDefault="004A38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3"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4410"/>
        <w:gridCol w:w="6870"/>
      </w:tblGrid>
      <w:tr w:rsidR="00F23FE4" w:rsidRPr="00F23FE4" w:rsidTr="004A3828">
        <w:trPr>
          <w:tblHeader/>
        </w:trPr>
        <w:tc>
          <w:tcPr>
            <w:tcW w:w="4410" w:type="dxa"/>
            <w:tcBorders>
              <w:top w:val="nil"/>
            </w:tcBorders>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Term</w:t>
            </w:r>
          </w:p>
        </w:tc>
        <w:tc>
          <w:tcPr>
            <w:tcW w:w="6870" w:type="dxa"/>
            <w:tcBorders>
              <w:top w:val="nil"/>
            </w:tcBorders>
            <w:tcMar>
              <w:top w:w="150" w:type="dxa"/>
              <w:left w:w="24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Definition</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Salary</w:t>
            </w:r>
          </w:p>
        </w:tc>
        <w:tc>
          <w:tcPr>
            <w:tcW w:w="6870" w:type="dxa"/>
            <w:tcMar>
              <w:top w:w="150" w:type="dxa"/>
              <w:left w:w="240" w:type="dxa"/>
              <w:bottom w:w="150" w:type="dxa"/>
              <w:right w:w="0" w:type="dxa"/>
            </w:tcMar>
            <w:vAlign w:val="center"/>
            <w:hideMark/>
          </w:tcPr>
          <w:p w:rsidR="004A3828"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A fixed regular payment, typically paid monthly,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semi-monthly, or weekly</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Wage</w:t>
            </w:r>
          </w:p>
        </w:tc>
        <w:tc>
          <w:tcPr>
            <w:tcW w:w="6870" w:type="dxa"/>
            <w:tcMar>
              <w:top w:w="150" w:type="dxa"/>
              <w:left w:w="240" w:type="dxa"/>
              <w:bottom w:w="150" w:type="dxa"/>
              <w:right w:w="0" w:type="dxa"/>
            </w:tcMar>
            <w:vAlign w:val="center"/>
            <w:hideMark/>
          </w:tcPr>
          <w:p w:rsidR="004A3828"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Earnings based on time worked (hourly, daily, weekly)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or tasks completed</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Commission</w:t>
            </w:r>
          </w:p>
        </w:tc>
        <w:tc>
          <w:tcPr>
            <w:tcW w:w="687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Income earned as a percentage of sales made</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Piecework</w:t>
            </w:r>
          </w:p>
        </w:tc>
        <w:tc>
          <w:tcPr>
            <w:tcW w:w="687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Earnings based on the number of items completed</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Gross Income</w:t>
            </w:r>
          </w:p>
        </w:tc>
        <w:tc>
          <w:tcPr>
            <w:tcW w:w="687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Total earnings before any deductions are made</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Net Income</w:t>
            </w:r>
          </w:p>
        </w:tc>
        <w:tc>
          <w:tcPr>
            <w:tcW w:w="6870" w:type="dxa"/>
            <w:tcMar>
              <w:top w:w="150" w:type="dxa"/>
              <w:left w:w="240" w:type="dxa"/>
              <w:bottom w:w="150" w:type="dxa"/>
              <w:right w:w="0" w:type="dxa"/>
            </w:tcMar>
            <w:vAlign w:val="center"/>
            <w:hideMark/>
          </w:tcPr>
          <w:p w:rsidR="004A3828"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Take-home pay — the amount left after deductions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are subtracted</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SSS (Social Security System)</w:t>
            </w:r>
          </w:p>
        </w:tc>
        <w:tc>
          <w:tcPr>
            <w:tcW w:w="6870" w:type="dxa"/>
            <w:tcMar>
              <w:top w:w="150" w:type="dxa"/>
              <w:left w:w="240" w:type="dxa"/>
              <w:bottom w:w="150" w:type="dxa"/>
              <w:right w:w="0" w:type="dxa"/>
            </w:tcMar>
            <w:vAlign w:val="center"/>
            <w:hideMark/>
          </w:tcPr>
          <w:p w:rsidR="004A3828"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Mandatory contribution for private sector employees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for retirement, disability, and death benefits</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GSIS (Government Service Insurance System)</w:t>
            </w:r>
          </w:p>
        </w:tc>
        <w:tc>
          <w:tcPr>
            <w:tcW w:w="687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Mandatory contribution for government employees</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PhilHealth</w:t>
            </w:r>
          </w:p>
        </w:tc>
        <w:tc>
          <w:tcPr>
            <w:tcW w:w="687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Mandatory healthcare contribution for all employees</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Pag-IBIG (HDMF)</w:t>
            </w:r>
          </w:p>
        </w:tc>
        <w:tc>
          <w:tcPr>
            <w:tcW w:w="6870" w:type="dxa"/>
            <w:tcMar>
              <w:top w:w="150" w:type="dxa"/>
              <w:left w:w="240" w:type="dxa"/>
              <w:bottom w:w="150" w:type="dxa"/>
              <w:right w:w="0" w:type="dxa"/>
            </w:tcMar>
            <w:vAlign w:val="center"/>
            <w:hideMark/>
          </w:tcPr>
          <w:p w:rsidR="004A3828"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Mandatory savings and housing loan fund for all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employees</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Withholding Tax</w:t>
            </w:r>
          </w:p>
        </w:tc>
        <w:tc>
          <w:tcPr>
            <w:tcW w:w="6870" w:type="dxa"/>
            <w:tcMar>
              <w:top w:w="150" w:type="dxa"/>
              <w:left w:w="240" w:type="dxa"/>
              <w:bottom w:w="150" w:type="dxa"/>
              <w:right w:w="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Income tax collected in advance by the employer</w:t>
            </w:r>
          </w:p>
        </w:tc>
      </w:tr>
      <w:tr w:rsidR="00F23FE4" w:rsidRPr="00F23FE4" w:rsidTr="004A3828">
        <w:tc>
          <w:tcPr>
            <w:tcW w:w="4410" w:type="dxa"/>
            <w:tcMar>
              <w:top w:w="150" w:type="dxa"/>
              <w:left w:w="0" w:type="dxa"/>
              <w:bottom w:w="150" w:type="dxa"/>
              <w:right w:w="240" w:type="dxa"/>
            </w:tcMar>
            <w:vAlign w:val="center"/>
            <w:hideMark/>
          </w:tcPr>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b/>
                <w:bCs/>
                <w:sz w:val="23"/>
                <w:szCs w:val="23"/>
              </w:rPr>
              <w:t>Overtime Pay</w:t>
            </w:r>
          </w:p>
        </w:tc>
        <w:tc>
          <w:tcPr>
            <w:tcW w:w="6870" w:type="dxa"/>
            <w:tcMar>
              <w:top w:w="150" w:type="dxa"/>
              <w:left w:w="240" w:type="dxa"/>
              <w:bottom w:w="150" w:type="dxa"/>
              <w:right w:w="0" w:type="dxa"/>
            </w:tcMar>
            <w:vAlign w:val="center"/>
            <w:hideMark/>
          </w:tcPr>
          <w:p w:rsidR="004A3828"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 xml:space="preserve">Extra pay for working beyond 8 hours per day </w:t>
            </w:r>
          </w:p>
          <w:p w:rsidR="00F23FE4" w:rsidRPr="00F23FE4" w:rsidRDefault="00F23FE4" w:rsidP="00F23FE4">
            <w:pPr>
              <w:spacing w:after="0" w:line="375" w:lineRule="atLeast"/>
              <w:rPr>
                <w:rFonts w:ascii="Segoe UI" w:eastAsia="Times New Roman" w:hAnsi="Segoe UI" w:cs="Segoe UI"/>
                <w:sz w:val="23"/>
                <w:szCs w:val="23"/>
              </w:rPr>
            </w:pPr>
            <w:r w:rsidRPr="00F23FE4">
              <w:rPr>
                <w:rFonts w:ascii="Segoe UI" w:eastAsia="Times New Roman" w:hAnsi="Segoe UI" w:cs="Segoe UI"/>
                <w:sz w:val="23"/>
                <w:szCs w:val="23"/>
              </w:rPr>
              <w:t>(typically 125% of regular rate)</w:t>
            </w:r>
          </w:p>
        </w:tc>
      </w:tr>
    </w:tbl>
    <w:p w:rsidR="00F23FE4" w:rsidRPr="00F23FE4" w:rsidRDefault="00C30B96" w:rsidP="00F23FE4">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4" style="width:0;height:.75pt" o:hralign="center" o:hrstd="t" o:hr="t" fillcolor="#a0a0a0" stroked="f"/>
        </w:pict>
      </w:r>
    </w:p>
    <w:p w:rsidR="00F23FE4" w:rsidRPr="00F23FE4" w:rsidRDefault="00F23FE4" w:rsidP="00F23FE4">
      <w:pPr>
        <w:shd w:val="clear" w:color="auto" w:fill="FFFFFF"/>
        <w:spacing w:before="480" w:after="240" w:line="480" w:lineRule="atLeast"/>
        <w:outlineLvl w:val="1"/>
        <w:rPr>
          <w:rFonts w:ascii="Segoe UI" w:eastAsia="Times New Roman" w:hAnsi="Segoe UI" w:cs="Segoe UI"/>
          <w:b/>
          <w:bCs/>
          <w:color w:val="0F1115"/>
          <w:sz w:val="33"/>
          <w:szCs w:val="33"/>
        </w:rPr>
      </w:pPr>
      <w:r w:rsidRPr="00F23FE4">
        <w:rPr>
          <w:rFonts w:ascii="Segoe UI" w:eastAsia="Times New Roman" w:hAnsi="Segoe UI" w:cs="Segoe UI"/>
          <w:b/>
          <w:bCs/>
          <w:color w:val="0F1115"/>
          <w:sz w:val="33"/>
          <w:szCs w:val="33"/>
        </w:rPr>
        <w:t>Review Questions</w:t>
      </w:r>
    </w:p>
    <w:p w:rsidR="00F23FE4" w:rsidRPr="00F23FE4" w:rsidRDefault="00F23FE4" w:rsidP="00F23FE4">
      <w:pPr>
        <w:shd w:val="clear" w:color="auto" w:fill="FFFFFF"/>
        <w:spacing w:before="240" w:after="240" w:line="240" w:lineRule="auto"/>
        <w:rPr>
          <w:rFonts w:ascii="Segoe UI" w:eastAsia="Times New Roman" w:hAnsi="Segoe UI" w:cs="Segoe UI"/>
          <w:color w:val="0F1115"/>
          <w:sz w:val="24"/>
          <w:szCs w:val="24"/>
        </w:rPr>
      </w:pPr>
      <w:r w:rsidRPr="00F23FE4">
        <w:rPr>
          <w:rFonts w:ascii="Segoe UI" w:eastAsia="Times New Roman" w:hAnsi="Segoe UI" w:cs="Segoe UI"/>
          <w:i/>
          <w:iCs/>
          <w:color w:val="0F1115"/>
          <w:sz w:val="24"/>
          <w:szCs w:val="24"/>
        </w:rPr>
        <w:t>Responses should be written on a separate sheet of paper.</w:t>
      </w:r>
    </w:p>
    <w:p w:rsidR="00F23FE4" w:rsidRPr="00F23FE4" w:rsidRDefault="00F23FE4" w:rsidP="00F23FE4">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Distinguish between </w:t>
      </w:r>
      <w:r w:rsidRPr="00F23FE4">
        <w:rPr>
          <w:rFonts w:ascii="Segoe UI" w:eastAsia="Times New Roman" w:hAnsi="Segoe UI" w:cs="Segoe UI"/>
          <w:b/>
          <w:bCs/>
          <w:color w:val="0F1115"/>
          <w:sz w:val="24"/>
          <w:szCs w:val="24"/>
        </w:rPr>
        <w:t>gross income</w:t>
      </w:r>
      <w:r w:rsidRPr="00F23FE4">
        <w:rPr>
          <w:rFonts w:ascii="Segoe UI" w:eastAsia="Times New Roman" w:hAnsi="Segoe UI" w:cs="Segoe UI"/>
          <w:color w:val="0F1115"/>
          <w:sz w:val="24"/>
          <w:szCs w:val="24"/>
        </w:rPr>
        <w:t> and </w:t>
      </w:r>
      <w:r w:rsidRPr="00F23FE4">
        <w:rPr>
          <w:rFonts w:ascii="Segoe UI" w:eastAsia="Times New Roman" w:hAnsi="Segoe UI" w:cs="Segoe UI"/>
          <w:b/>
          <w:bCs/>
          <w:color w:val="0F1115"/>
          <w:sz w:val="24"/>
          <w:szCs w:val="24"/>
        </w:rPr>
        <w:t>net income</w:t>
      </w:r>
      <w:r w:rsidRPr="00F23FE4">
        <w:rPr>
          <w:rFonts w:ascii="Segoe UI" w:eastAsia="Times New Roman" w:hAnsi="Segoe UI" w:cs="Segoe UI"/>
          <w:color w:val="0F1115"/>
          <w:sz w:val="24"/>
          <w:szCs w:val="24"/>
        </w:rPr>
        <w:t>. Why is it important to understand the difference?</w:t>
      </w:r>
    </w:p>
    <w:p w:rsidR="00F23FE4" w:rsidRPr="00F23FE4" w:rsidRDefault="00F23FE4" w:rsidP="00F23FE4">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A factory worker earns ₱95 per hour. She works 40 regular hours and 8 overtime hours (paid at 1.25 times the regular rate). Calculate her total weekly wage.</w:t>
      </w:r>
    </w:p>
    <w:p w:rsidR="00F23FE4" w:rsidRPr="00F23FE4" w:rsidRDefault="00F23FE4" w:rsidP="00F23FE4">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A sales agent has a base salary of ₱8,000 per month and earns a 6% commission on total sales. In one month, she sold ₱120,000 worth of products. Compute her total monthly income.</w:t>
      </w:r>
    </w:p>
    <w:p w:rsidR="00F23FE4" w:rsidRPr="00F23FE4" w:rsidRDefault="00F23FE4" w:rsidP="00F23FE4">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What are the four mandatory government deductions in the Philippines? Briefly explain the purpose of each.</w:t>
      </w:r>
    </w:p>
    <w:p w:rsidR="00F23FE4" w:rsidRPr="00F23FE4" w:rsidRDefault="00F23FE4" w:rsidP="00F23FE4">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Two job offers are presented:</w:t>
      </w:r>
    </w:p>
    <w:p w:rsidR="00F23FE4" w:rsidRPr="00F23FE4" w:rsidRDefault="00F23FE4" w:rsidP="00F23FE4">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Job X:</w:t>
      </w:r>
      <w:r w:rsidRPr="00F23FE4">
        <w:rPr>
          <w:rFonts w:ascii="Segoe UI" w:eastAsia="Times New Roman" w:hAnsi="Segoe UI" w:cs="Segoe UI"/>
          <w:color w:val="0F1115"/>
          <w:sz w:val="24"/>
          <w:szCs w:val="24"/>
        </w:rPr>
        <w:t> ₱22,000 monthly salary + ₱2,500 allowance</w:t>
      </w:r>
    </w:p>
    <w:p w:rsidR="00F23FE4" w:rsidRPr="00F23FE4" w:rsidRDefault="00F23FE4" w:rsidP="00F23FE4">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23FE4">
        <w:rPr>
          <w:rFonts w:ascii="Segoe UI" w:eastAsia="Times New Roman" w:hAnsi="Segoe UI" w:cs="Segoe UI"/>
          <w:b/>
          <w:bCs/>
          <w:color w:val="0F1115"/>
          <w:sz w:val="24"/>
          <w:szCs w:val="24"/>
        </w:rPr>
        <w:t>Job Y:</w:t>
      </w:r>
      <w:r w:rsidRPr="00F23FE4">
        <w:rPr>
          <w:rFonts w:ascii="Segoe UI" w:eastAsia="Times New Roman" w:hAnsi="Segoe UI" w:cs="Segoe UI"/>
          <w:color w:val="0F1115"/>
          <w:sz w:val="24"/>
          <w:szCs w:val="24"/>
        </w:rPr>
        <w:t> ₱25,000 monthly salary, no allowance</w:t>
      </w:r>
    </w:p>
    <w:p w:rsidR="00F23FE4" w:rsidRPr="00F23FE4" w:rsidRDefault="00F23FE4" w:rsidP="00F23FE4">
      <w:pPr>
        <w:shd w:val="clear" w:color="auto" w:fill="FFFFFF"/>
        <w:spacing w:before="120" w:after="0" w:line="240" w:lineRule="auto"/>
        <w:rPr>
          <w:rFonts w:ascii="Segoe UI" w:eastAsia="Times New Roman" w:hAnsi="Segoe UI" w:cs="Segoe UI"/>
          <w:color w:val="0F1115"/>
          <w:sz w:val="24"/>
          <w:szCs w:val="24"/>
        </w:rPr>
      </w:pPr>
      <w:r w:rsidRPr="00F23FE4">
        <w:rPr>
          <w:rFonts w:ascii="Segoe UI" w:eastAsia="Times New Roman" w:hAnsi="Segoe UI" w:cs="Segoe UI"/>
          <w:color w:val="0F1115"/>
          <w:sz w:val="24"/>
          <w:szCs w:val="24"/>
        </w:rPr>
        <w:t>Calculate the net income for both jobs (assuming SSS 5%, PhilHealth 2.5%, Pag-IBIG 2% capped at ₱200, and withholding tax at 0% for simplicity). Which job provides higher net income? Explain your answer.</w:t>
      </w:r>
    </w:p>
    <w:p w:rsidR="00351812" w:rsidRPr="00265AD8" w:rsidRDefault="00351812" w:rsidP="00265AD8"/>
    <w:sectPr w:rsidR="00351812" w:rsidRPr="00265A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1081DCA"/>
    <w:multiLevelType w:val="multilevel"/>
    <w:tmpl w:val="0C6E2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5C04801"/>
    <w:multiLevelType w:val="multilevel"/>
    <w:tmpl w:val="43684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664A601F"/>
    <w:multiLevelType w:val="multilevel"/>
    <w:tmpl w:val="9BF8F0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DC85B8B"/>
    <w:multiLevelType w:val="multilevel"/>
    <w:tmpl w:val="7D1AD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27C55C3"/>
    <w:multiLevelType w:val="multilevel"/>
    <w:tmpl w:val="DA488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770A1588"/>
    <w:multiLevelType w:val="multilevel"/>
    <w:tmpl w:val="7632C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0"/>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7338E"/>
    <w:rsid w:val="00023EF1"/>
    <w:rsid w:val="000279C2"/>
    <w:rsid w:val="00034BAE"/>
    <w:rsid w:val="000A20D0"/>
    <w:rsid w:val="000F5EDD"/>
    <w:rsid w:val="001644A1"/>
    <w:rsid w:val="00230804"/>
    <w:rsid w:val="00230D55"/>
    <w:rsid w:val="00260801"/>
    <w:rsid w:val="00262EEB"/>
    <w:rsid w:val="002630A2"/>
    <w:rsid w:val="00265AD8"/>
    <w:rsid w:val="00310AFD"/>
    <w:rsid w:val="0034488A"/>
    <w:rsid w:val="00351812"/>
    <w:rsid w:val="003A2956"/>
    <w:rsid w:val="004A3828"/>
    <w:rsid w:val="004D14D0"/>
    <w:rsid w:val="004E4346"/>
    <w:rsid w:val="00510374"/>
    <w:rsid w:val="00526356"/>
    <w:rsid w:val="0053378C"/>
    <w:rsid w:val="00544765"/>
    <w:rsid w:val="00583784"/>
    <w:rsid w:val="005B7A4C"/>
    <w:rsid w:val="005C5FA2"/>
    <w:rsid w:val="005E0AD1"/>
    <w:rsid w:val="00673090"/>
    <w:rsid w:val="006B75BE"/>
    <w:rsid w:val="006D3DE0"/>
    <w:rsid w:val="007468DC"/>
    <w:rsid w:val="00796FB0"/>
    <w:rsid w:val="007B6458"/>
    <w:rsid w:val="008027AE"/>
    <w:rsid w:val="0080352B"/>
    <w:rsid w:val="00815CAC"/>
    <w:rsid w:val="0087338E"/>
    <w:rsid w:val="008B2324"/>
    <w:rsid w:val="009425C2"/>
    <w:rsid w:val="00953F45"/>
    <w:rsid w:val="009A7176"/>
    <w:rsid w:val="009E6523"/>
    <w:rsid w:val="00A139E3"/>
    <w:rsid w:val="00A168F6"/>
    <w:rsid w:val="00A62487"/>
    <w:rsid w:val="00AA6010"/>
    <w:rsid w:val="00AB4AFD"/>
    <w:rsid w:val="00AE27FF"/>
    <w:rsid w:val="00B667C6"/>
    <w:rsid w:val="00BF0C10"/>
    <w:rsid w:val="00C25206"/>
    <w:rsid w:val="00C30B96"/>
    <w:rsid w:val="00C54D85"/>
    <w:rsid w:val="00C71A2D"/>
    <w:rsid w:val="00C76EFE"/>
    <w:rsid w:val="00C82B84"/>
    <w:rsid w:val="00CB6860"/>
    <w:rsid w:val="00CE5B56"/>
    <w:rsid w:val="00CF6CB1"/>
    <w:rsid w:val="00D00A77"/>
    <w:rsid w:val="00D54BBB"/>
    <w:rsid w:val="00D56782"/>
    <w:rsid w:val="00D71F1E"/>
    <w:rsid w:val="00DC6BAD"/>
    <w:rsid w:val="00E4703B"/>
    <w:rsid w:val="00E92FE5"/>
    <w:rsid w:val="00F23FE4"/>
    <w:rsid w:val="00F277EF"/>
    <w:rsid w:val="00FC7F2C"/>
    <w:rsid w:val="00FE4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0C1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0C1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6775535">
      <w:bodyDiv w:val="1"/>
      <w:marLeft w:val="0"/>
      <w:marRight w:val="0"/>
      <w:marTop w:val="0"/>
      <w:marBottom w:val="0"/>
      <w:divBdr>
        <w:top w:val="none" w:sz="0" w:space="0" w:color="auto"/>
        <w:left w:val="none" w:sz="0" w:space="0" w:color="auto"/>
        <w:bottom w:val="none" w:sz="0" w:space="0" w:color="auto"/>
        <w:right w:val="none" w:sz="0" w:space="0" w:color="auto"/>
      </w:divBdr>
      <w:divsChild>
        <w:div w:id="719867680">
          <w:marLeft w:val="0"/>
          <w:marRight w:val="0"/>
          <w:marTop w:val="0"/>
          <w:marBottom w:val="0"/>
          <w:divBdr>
            <w:top w:val="none" w:sz="0" w:space="0" w:color="auto"/>
            <w:left w:val="none" w:sz="0" w:space="0" w:color="auto"/>
            <w:bottom w:val="none" w:sz="0" w:space="0" w:color="auto"/>
            <w:right w:val="none" w:sz="0" w:space="0" w:color="auto"/>
          </w:divBdr>
        </w:div>
        <w:div w:id="1293680967">
          <w:marLeft w:val="0"/>
          <w:marRight w:val="0"/>
          <w:marTop w:val="0"/>
          <w:marBottom w:val="0"/>
          <w:divBdr>
            <w:top w:val="none" w:sz="0" w:space="0" w:color="auto"/>
            <w:left w:val="none" w:sz="0" w:space="0" w:color="auto"/>
            <w:bottom w:val="none" w:sz="0" w:space="0" w:color="auto"/>
            <w:right w:val="none" w:sz="0" w:space="0" w:color="auto"/>
          </w:divBdr>
        </w:div>
        <w:div w:id="679352256">
          <w:marLeft w:val="0"/>
          <w:marRight w:val="0"/>
          <w:marTop w:val="0"/>
          <w:marBottom w:val="0"/>
          <w:divBdr>
            <w:top w:val="none" w:sz="0" w:space="0" w:color="auto"/>
            <w:left w:val="none" w:sz="0" w:space="0" w:color="auto"/>
            <w:bottom w:val="none" w:sz="0" w:space="0" w:color="auto"/>
            <w:right w:val="none" w:sz="0" w:space="0" w:color="auto"/>
          </w:divBdr>
        </w:div>
        <w:div w:id="268857917">
          <w:marLeft w:val="0"/>
          <w:marRight w:val="0"/>
          <w:marTop w:val="0"/>
          <w:marBottom w:val="0"/>
          <w:divBdr>
            <w:top w:val="none" w:sz="0" w:space="0" w:color="auto"/>
            <w:left w:val="none" w:sz="0" w:space="0" w:color="auto"/>
            <w:bottom w:val="none" w:sz="0" w:space="0" w:color="auto"/>
            <w:right w:val="none" w:sz="0" w:space="0" w:color="auto"/>
          </w:divBdr>
        </w:div>
        <w:div w:id="2000184355">
          <w:marLeft w:val="0"/>
          <w:marRight w:val="0"/>
          <w:marTop w:val="0"/>
          <w:marBottom w:val="0"/>
          <w:divBdr>
            <w:top w:val="none" w:sz="0" w:space="0" w:color="auto"/>
            <w:left w:val="none" w:sz="0" w:space="0" w:color="auto"/>
            <w:bottom w:val="none" w:sz="0" w:space="0" w:color="auto"/>
            <w:right w:val="none" w:sz="0" w:space="0" w:color="auto"/>
          </w:divBdr>
        </w:div>
        <w:div w:id="1342120083">
          <w:marLeft w:val="0"/>
          <w:marRight w:val="0"/>
          <w:marTop w:val="0"/>
          <w:marBottom w:val="0"/>
          <w:divBdr>
            <w:top w:val="none" w:sz="0" w:space="0" w:color="auto"/>
            <w:left w:val="none" w:sz="0" w:space="0" w:color="auto"/>
            <w:bottom w:val="none" w:sz="0" w:space="0" w:color="auto"/>
            <w:right w:val="none" w:sz="0" w:space="0" w:color="auto"/>
          </w:divBdr>
        </w:div>
        <w:div w:id="1577789277">
          <w:marLeft w:val="0"/>
          <w:marRight w:val="0"/>
          <w:marTop w:val="0"/>
          <w:marBottom w:val="0"/>
          <w:divBdr>
            <w:top w:val="none" w:sz="0" w:space="0" w:color="auto"/>
            <w:left w:val="none" w:sz="0" w:space="0" w:color="auto"/>
            <w:bottom w:val="none" w:sz="0" w:space="0" w:color="auto"/>
            <w:right w:val="none" w:sz="0" w:space="0" w:color="auto"/>
          </w:divBdr>
        </w:div>
        <w:div w:id="2032803594">
          <w:marLeft w:val="0"/>
          <w:marRight w:val="0"/>
          <w:marTop w:val="0"/>
          <w:marBottom w:val="0"/>
          <w:divBdr>
            <w:top w:val="none" w:sz="0" w:space="0" w:color="auto"/>
            <w:left w:val="none" w:sz="0" w:space="0" w:color="auto"/>
            <w:bottom w:val="none" w:sz="0" w:space="0" w:color="auto"/>
            <w:right w:val="none" w:sz="0" w:space="0" w:color="auto"/>
          </w:divBdr>
        </w:div>
        <w:div w:id="138229448">
          <w:marLeft w:val="0"/>
          <w:marRight w:val="0"/>
          <w:marTop w:val="0"/>
          <w:marBottom w:val="0"/>
          <w:divBdr>
            <w:top w:val="none" w:sz="0" w:space="0" w:color="auto"/>
            <w:left w:val="none" w:sz="0" w:space="0" w:color="auto"/>
            <w:bottom w:val="none" w:sz="0" w:space="0" w:color="auto"/>
            <w:right w:val="none" w:sz="0" w:space="0" w:color="auto"/>
          </w:divBdr>
        </w:div>
        <w:div w:id="721515225">
          <w:marLeft w:val="0"/>
          <w:marRight w:val="0"/>
          <w:marTop w:val="0"/>
          <w:marBottom w:val="0"/>
          <w:divBdr>
            <w:top w:val="none" w:sz="0" w:space="0" w:color="auto"/>
            <w:left w:val="none" w:sz="0" w:space="0" w:color="auto"/>
            <w:bottom w:val="none" w:sz="0" w:space="0" w:color="auto"/>
            <w:right w:val="none" w:sz="0" w:space="0" w:color="auto"/>
          </w:divBdr>
        </w:div>
        <w:div w:id="2010404439">
          <w:marLeft w:val="0"/>
          <w:marRight w:val="0"/>
          <w:marTop w:val="0"/>
          <w:marBottom w:val="0"/>
          <w:divBdr>
            <w:top w:val="none" w:sz="0" w:space="0" w:color="auto"/>
            <w:left w:val="none" w:sz="0" w:space="0" w:color="auto"/>
            <w:bottom w:val="none" w:sz="0" w:space="0" w:color="auto"/>
            <w:right w:val="none" w:sz="0" w:space="0" w:color="auto"/>
          </w:divBdr>
        </w:div>
        <w:div w:id="31809278">
          <w:marLeft w:val="0"/>
          <w:marRight w:val="0"/>
          <w:marTop w:val="0"/>
          <w:marBottom w:val="0"/>
          <w:divBdr>
            <w:top w:val="none" w:sz="0" w:space="0" w:color="auto"/>
            <w:left w:val="none" w:sz="0" w:space="0" w:color="auto"/>
            <w:bottom w:val="none" w:sz="0" w:space="0" w:color="auto"/>
            <w:right w:val="none" w:sz="0" w:space="0" w:color="auto"/>
          </w:divBdr>
        </w:div>
        <w:div w:id="775104863">
          <w:marLeft w:val="0"/>
          <w:marRight w:val="0"/>
          <w:marTop w:val="0"/>
          <w:marBottom w:val="0"/>
          <w:divBdr>
            <w:top w:val="none" w:sz="0" w:space="0" w:color="auto"/>
            <w:left w:val="none" w:sz="0" w:space="0" w:color="auto"/>
            <w:bottom w:val="none" w:sz="0" w:space="0" w:color="auto"/>
            <w:right w:val="none" w:sz="0" w:space="0" w:color="auto"/>
          </w:divBdr>
        </w:div>
        <w:div w:id="773523469">
          <w:marLeft w:val="0"/>
          <w:marRight w:val="0"/>
          <w:marTop w:val="0"/>
          <w:marBottom w:val="0"/>
          <w:divBdr>
            <w:top w:val="none" w:sz="0" w:space="0" w:color="auto"/>
            <w:left w:val="none" w:sz="0" w:space="0" w:color="auto"/>
            <w:bottom w:val="none" w:sz="0" w:space="0" w:color="auto"/>
            <w:right w:val="none" w:sz="0" w:space="0" w:color="auto"/>
          </w:divBdr>
        </w:div>
      </w:divsChild>
    </w:div>
    <w:div w:id="949122957">
      <w:bodyDiv w:val="1"/>
      <w:marLeft w:val="0"/>
      <w:marRight w:val="0"/>
      <w:marTop w:val="0"/>
      <w:marBottom w:val="0"/>
      <w:divBdr>
        <w:top w:val="none" w:sz="0" w:space="0" w:color="auto"/>
        <w:left w:val="none" w:sz="0" w:space="0" w:color="auto"/>
        <w:bottom w:val="none" w:sz="0" w:space="0" w:color="auto"/>
        <w:right w:val="none" w:sz="0" w:space="0" w:color="auto"/>
      </w:divBdr>
      <w:divsChild>
        <w:div w:id="297223428">
          <w:marLeft w:val="0"/>
          <w:marRight w:val="0"/>
          <w:marTop w:val="0"/>
          <w:marBottom w:val="0"/>
          <w:divBdr>
            <w:top w:val="none" w:sz="0" w:space="0" w:color="auto"/>
            <w:left w:val="none" w:sz="0" w:space="0" w:color="auto"/>
            <w:bottom w:val="none" w:sz="0" w:space="0" w:color="auto"/>
            <w:right w:val="none" w:sz="0" w:space="0" w:color="auto"/>
          </w:divBdr>
        </w:div>
        <w:div w:id="1638872279">
          <w:marLeft w:val="0"/>
          <w:marRight w:val="0"/>
          <w:marTop w:val="0"/>
          <w:marBottom w:val="0"/>
          <w:divBdr>
            <w:top w:val="none" w:sz="0" w:space="0" w:color="auto"/>
            <w:left w:val="none" w:sz="0" w:space="0" w:color="auto"/>
            <w:bottom w:val="none" w:sz="0" w:space="0" w:color="auto"/>
            <w:right w:val="none" w:sz="0" w:space="0" w:color="auto"/>
          </w:divBdr>
        </w:div>
        <w:div w:id="981082290">
          <w:marLeft w:val="0"/>
          <w:marRight w:val="0"/>
          <w:marTop w:val="0"/>
          <w:marBottom w:val="0"/>
          <w:divBdr>
            <w:top w:val="none" w:sz="0" w:space="0" w:color="auto"/>
            <w:left w:val="none" w:sz="0" w:space="0" w:color="auto"/>
            <w:bottom w:val="none" w:sz="0" w:space="0" w:color="auto"/>
            <w:right w:val="none" w:sz="0" w:space="0" w:color="auto"/>
          </w:divBdr>
        </w:div>
        <w:div w:id="308021191">
          <w:marLeft w:val="0"/>
          <w:marRight w:val="0"/>
          <w:marTop w:val="0"/>
          <w:marBottom w:val="0"/>
          <w:divBdr>
            <w:top w:val="none" w:sz="0" w:space="0" w:color="auto"/>
            <w:left w:val="none" w:sz="0" w:space="0" w:color="auto"/>
            <w:bottom w:val="none" w:sz="0" w:space="0" w:color="auto"/>
            <w:right w:val="none" w:sz="0" w:space="0" w:color="auto"/>
          </w:divBdr>
        </w:div>
        <w:div w:id="1525365949">
          <w:marLeft w:val="0"/>
          <w:marRight w:val="0"/>
          <w:marTop w:val="0"/>
          <w:marBottom w:val="0"/>
          <w:divBdr>
            <w:top w:val="none" w:sz="0" w:space="0" w:color="auto"/>
            <w:left w:val="none" w:sz="0" w:space="0" w:color="auto"/>
            <w:bottom w:val="none" w:sz="0" w:space="0" w:color="auto"/>
            <w:right w:val="none" w:sz="0" w:space="0" w:color="auto"/>
          </w:divBdr>
        </w:div>
        <w:div w:id="1944608640">
          <w:marLeft w:val="0"/>
          <w:marRight w:val="0"/>
          <w:marTop w:val="0"/>
          <w:marBottom w:val="0"/>
          <w:divBdr>
            <w:top w:val="none" w:sz="0" w:space="0" w:color="auto"/>
            <w:left w:val="none" w:sz="0" w:space="0" w:color="auto"/>
            <w:bottom w:val="none" w:sz="0" w:space="0" w:color="auto"/>
            <w:right w:val="none" w:sz="0" w:space="0" w:color="auto"/>
          </w:divBdr>
        </w:div>
        <w:div w:id="1372418227">
          <w:marLeft w:val="0"/>
          <w:marRight w:val="0"/>
          <w:marTop w:val="0"/>
          <w:marBottom w:val="0"/>
          <w:divBdr>
            <w:top w:val="none" w:sz="0" w:space="0" w:color="auto"/>
            <w:left w:val="none" w:sz="0" w:space="0" w:color="auto"/>
            <w:bottom w:val="none" w:sz="0" w:space="0" w:color="auto"/>
            <w:right w:val="none" w:sz="0" w:space="0" w:color="auto"/>
          </w:divBdr>
        </w:div>
        <w:div w:id="1488092889">
          <w:marLeft w:val="0"/>
          <w:marRight w:val="0"/>
          <w:marTop w:val="0"/>
          <w:marBottom w:val="0"/>
          <w:divBdr>
            <w:top w:val="none" w:sz="0" w:space="0" w:color="auto"/>
            <w:left w:val="none" w:sz="0" w:space="0" w:color="auto"/>
            <w:bottom w:val="none" w:sz="0" w:space="0" w:color="auto"/>
            <w:right w:val="none" w:sz="0" w:space="0" w:color="auto"/>
          </w:divBdr>
        </w:div>
        <w:div w:id="1799907930">
          <w:marLeft w:val="0"/>
          <w:marRight w:val="0"/>
          <w:marTop w:val="0"/>
          <w:marBottom w:val="0"/>
          <w:divBdr>
            <w:top w:val="none" w:sz="0" w:space="0" w:color="auto"/>
            <w:left w:val="none" w:sz="0" w:space="0" w:color="auto"/>
            <w:bottom w:val="none" w:sz="0" w:space="0" w:color="auto"/>
            <w:right w:val="none" w:sz="0" w:space="0" w:color="auto"/>
          </w:divBdr>
        </w:div>
        <w:div w:id="1226841387">
          <w:marLeft w:val="0"/>
          <w:marRight w:val="0"/>
          <w:marTop w:val="0"/>
          <w:marBottom w:val="0"/>
          <w:divBdr>
            <w:top w:val="none" w:sz="0" w:space="0" w:color="auto"/>
            <w:left w:val="none" w:sz="0" w:space="0" w:color="auto"/>
            <w:bottom w:val="none" w:sz="0" w:space="0" w:color="auto"/>
            <w:right w:val="none" w:sz="0" w:space="0" w:color="auto"/>
          </w:divBdr>
        </w:div>
        <w:div w:id="833496066">
          <w:marLeft w:val="0"/>
          <w:marRight w:val="0"/>
          <w:marTop w:val="0"/>
          <w:marBottom w:val="0"/>
          <w:divBdr>
            <w:top w:val="none" w:sz="0" w:space="0" w:color="auto"/>
            <w:left w:val="none" w:sz="0" w:space="0" w:color="auto"/>
            <w:bottom w:val="none" w:sz="0" w:space="0" w:color="auto"/>
            <w:right w:val="none" w:sz="0" w:space="0" w:color="auto"/>
          </w:divBdr>
        </w:div>
        <w:div w:id="1244416256">
          <w:marLeft w:val="0"/>
          <w:marRight w:val="0"/>
          <w:marTop w:val="0"/>
          <w:marBottom w:val="0"/>
          <w:divBdr>
            <w:top w:val="none" w:sz="0" w:space="0" w:color="auto"/>
            <w:left w:val="none" w:sz="0" w:space="0" w:color="auto"/>
            <w:bottom w:val="none" w:sz="0" w:space="0" w:color="auto"/>
            <w:right w:val="none" w:sz="0" w:space="0" w:color="auto"/>
          </w:divBdr>
        </w:div>
        <w:div w:id="2019698596">
          <w:marLeft w:val="0"/>
          <w:marRight w:val="0"/>
          <w:marTop w:val="0"/>
          <w:marBottom w:val="0"/>
          <w:divBdr>
            <w:top w:val="none" w:sz="0" w:space="0" w:color="auto"/>
            <w:left w:val="none" w:sz="0" w:space="0" w:color="auto"/>
            <w:bottom w:val="none" w:sz="0" w:space="0" w:color="auto"/>
            <w:right w:val="none" w:sz="0" w:space="0" w:color="auto"/>
          </w:divBdr>
        </w:div>
        <w:div w:id="170223762">
          <w:marLeft w:val="0"/>
          <w:marRight w:val="0"/>
          <w:marTop w:val="0"/>
          <w:marBottom w:val="0"/>
          <w:divBdr>
            <w:top w:val="none" w:sz="0" w:space="0" w:color="auto"/>
            <w:left w:val="none" w:sz="0" w:space="0" w:color="auto"/>
            <w:bottom w:val="none" w:sz="0" w:space="0" w:color="auto"/>
            <w:right w:val="none" w:sz="0" w:space="0" w:color="auto"/>
          </w:divBdr>
        </w:div>
        <w:div w:id="131365528">
          <w:marLeft w:val="0"/>
          <w:marRight w:val="0"/>
          <w:marTop w:val="0"/>
          <w:marBottom w:val="0"/>
          <w:divBdr>
            <w:top w:val="none" w:sz="0" w:space="0" w:color="auto"/>
            <w:left w:val="none" w:sz="0" w:space="0" w:color="auto"/>
            <w:bottom w:val="none" w:sz="0" w:space="0" w:color="auto"/>
            <w:right w:val="none" w:sz="0" w:space="0" w:color="auto"/>
          </w:divBdr>
        </w:div>
        <w:div w:id="1759908881">
          <w:marLeft w:val="0"/>
          <w:marRight w:val="0"/>
          <w:marTop w:val="0"/>
          <w:marBottom w:val="0"/>
          <w:divBdr>
            <w:top w:val="none" w:sz="0" w:space="0" w:color="auto"/>
            <w:left w:val="none" w:sz="0" w:space="0" w:color="auto"/>
            <w:bottom w:val="none" w:sz="0" w:space="0" w:color="auto"/>
            <w:right w:val="none" w:sz="0" w:space="0" w:color="auto"/>
          </w:divBdr>
        </w:div>
        <w:div w:id="106892861">
          <w:marLeft w:val="0"/>
          <w:marRight w:val="0"/>
          <w:marTop w:val="0"/>
          <w:marBottom w:val="0"/>
          <w:divBdr>
            <w:top w:val="none" w:sz="0" w:space="0" w:color="auto"/>
            <w:left w:val="none" w:sz="0" w:space="0" w:color="auto"/>
            <w:bottom w:val="none" w:sz="0" w:space="0" w:color="auto"/>
            <w:right w:val="none" w:sz="0" w:space="0" w:color="auto"/>
          </w:divBdr>
        </w:div>
        <w:div w:id="1115364253">
          <w:marLeft w:val="0"/>
          <w:marRight w:val="0"/>
          <w:marTop w:val="0"/>
          <w:marBottom w:val="0"/>
          <w:divBdr>
            <w:top w:val="none" w:sz="0" w:space="0" w:color="auto"/>
            <w:left w:val="none" w:sz="0" w:space="0" w:color="auto"/>
            <w:bottom w:val="none" w:sz="0" w:space="0" w:color="auto"/>
            <w:right w:val="none" w:sz="0" w:space="0" w:color="auto"/>
          </w:divBdr>
        </w:div>
      </w:divsChild>
    </w:div>
    <w:div w:id="1149398723">
      <w:bodyDiv w:val="1"/>
      <w:marLeft w:val="0"/>
      <w:marRight w:val="0"/>
      <w:marTop w:val="0"/>
      <w:marBottom w:val="0"/>
      <w:divBdr>
        <w:top w:val="none" w:sz="0" w:space="0" w:color="auto"/>
        <w:left w:val="none" w:sz="0" w:space="0" w:color="auto"/>
        <w:bottom w:val="none" w:sz="0" w:space="0" w:color="auto"/>
        <w:right w:val="none" w:sz="0" w:space="0" w:color="auto"/>
      </w:divBdr>
      <w:divsChild>
        <w:div w:id="442309955">
          <w:marLeft w:val="0"/>
          <w:marRight w:val="0"/>
          <w:marTop w:val="0"/>
          <w:marBottom w:val="0"/>
          <w:divBdr>
            <w:top w:val="none" w:sz="0" w:space="0" w:color="auto"/>
            <w:left w:val="none" w:sz="0" w:space="0" w:color="auto"/>
            <w:bottom w:val="none" w:sz="0" w:space="0" w:color="auto"/>
            <w:right w:val="none" w:sz="0" w:space="0" w:color="auto"/>
          </w:divBdr>
        </w:div>
        <w:div w:id="870336178">
          <w:marLeft w:val="0"/>
          <w:marRight w:val="0"/>
          <w:marTop w:val="0"/>
          <w:marBottom w:val="0"/>
          <w:divBdr>
            <w:top w:val="none" w:sz="0" w:space="0" w:color="auto"/>
            <w:left w:val="none" w:sz="0" w:space="0" w:color="auto"/>
            <w:bottom w:val="none" w:sz="0" w:space="0" w:color="auto"/>
            <w:right w:val="none" w:sz="0" w:space="0" w:color="auto"/>
          </w:divBdr>
        </w:div>
        <w:div w:id="917057964">
          <w:marLeft w:val="0"/>
          <w:marRight w:val="0"/>
          <w:marTop w:val="0"/>
          <w:marBottom w:val="0"/>
          <w:divBdr>
            <w:top w:val="none" w:sz="0" w:space="0" w:color="auto"/>
            <w:left w:val="none" w:sz="0" w:space="0" w:color="auto"/>
            <w:bottom w:val="none" w:sz="0" w:space="0" w:color="auto"/>
            <w:right w:val="none" w:sz="0" w:space="0" w:color="auto"/>
          </w:divBdr>
        </w:div>
        <w:div w:id="1578977697">
          <w:marLeft w:val="0"/>
          <w:marRight w:val="0"/>
          <w:marTop w:val="0"/>
          <w:marBottom w:val="0"/>
          <w:divBdr>
            <w:top w:val="none" w:sz="0" w:space="0" w:color="auto"/>
            <w:left w:val="none" w:sz="0" w:space="0" w:color="auto"/>
            <w:bottom w:val="none" w:sz="0" w:space="0" w:color="auto"/>
            <w:right w:val="none" w:sz="0" w:space="0" w:color="auto"/>
          </w:divBdr>
        </w:div>
        <w:div w:id="798303993">
          <w:marLeft w:val="0"/>
          <w:marRight w:val="0"/>
          <w:marTop w:val="0"/>
          <w:marBottom w:val="0"/>
          <w:divBdr>
            <w:top w:val="none" w:sz="0" w:space="0" w:color="auto"/>
            <w:left w:val="none" w:sz="0" w:space="0" w:color="auto"/>
            <w:bottom w:val="none" w:sz="0" w:space="0" w:color="auto"/>
            <w:right w:val="none" w:sz="0" w:space="0" w:color="auto"/>
          </w:divBdr>
        </w:div>
        <w:div w:id="298539081">
          <w:marLeft w:val="0"/>
          <w:marRight w:val="0"/>
          <w:marTop w:val="0"/>
          <w:marBottom w:val="0"/>
          <w:divBdr>
            <w:top w:val="none" w:sz="0" w:space="0" w:color="auto"/>
            <w:left w:val="none" w:sz="0" w:space="0" w:color="auto"/>
            <w:bottom w:val="none" w:sz="0" w:space="0" w:color="auto"/>
            <w:right w:val="none" w:sz="0" w:space="0" w:color="auto"/>
          </w:divBdr>
        </w:div>
        <w:div w:id="849413806">
          <w:marLeft w:val="0"/>
          <w:marRight w:val="0"/>
          <w:marTop w:val="0"/>
          <w:marBottom w:val="0"/>
          <w:divBdr>
            <w:top w:val="none" w:sz="0" w:space="0" w:color="auto"/>
            <w:left w:val="none" w:sz="0" w:space="0" w:color="auto"/>
            <w:bottom w:val="none" w:sz="0" w:space="0" w:color="auto"/>
            <w:right w:val="none" w:sz="0" w:space="0" w:color="auto"/>
          </w:divBdr>
        </w:div>
        <w:div w:id="1037386283">
          <w:marLeft w:val="0"/>
          <w:marRight w:val="0"/>
          <w:marTop w:val="0"/>
          <w:marBottom w:val="0"/>
          <w:divBdr>
            <w:top w:val="none" w:sz="0" w:space="0" w:color="auto"/>
            <w:left w:val="none" w:sz="0" w:space="0" w:color="auto"/>
            <w:bottom w:val="none" w:sz="0" w:space="0" w:color="auto"/>
            <w:right w:val="none" w:sz="0" w:space="0" w:color="auto"/>
          </w:divBdr>
        </w:div>
        <w:div w:id="1588533067">
          <w:marLeft w:val="0"/>
          <w:marRight w:val="0"/>
          <w:marTop w:val="0"/>
          <w:marBottom w:val="0"/>
          <w:divBdr>
            <w:top w:val="none" w:sz="0" w:space="0" w:color="auto"/>
            <w:left w:val="none" w:sz="0" w:space="0" w:color="auto"/>
            <w:bottom w:val="none" w:sz="0" w:space="0" w:color="auto"/>
            <w:right w:val="none" w:sz="0" w:space="0" w:color="auto"/>
          </w:divBdr>
        </w:div>
        <w:div w:id="878929225">
          <w:marLeft w:val="0"/>
          <w:marRight w:val="0"/>
          <w:marTop w:val="0"/>
          <w:marBottom w:val="0"/>
          <w:divBdr>
            <w:top w:val="none" w:sz="0" w:space="0" w:color="auto"/>
            <w:left w:val="none" w:sz="0" w:space="0" w:color="auto"/>
            <w:bottom w:val="none" w:sz="0" w:space="0" w:color="auto"/>
            <w:right w:val="none" w:sz="0" w:space="0" w:color="auto"/>
          </w:divBdr>
        </w:div>
        <w:div w:id="35471368">
          <w:marLeft w:val="0"/>
          <w:marRight w:val="0"/>
          <w:marTop w:val="0"/>
          <w:marBottom w:val="0"/>
          <w:divBdr>
            <w:top w:val="none" w:sz="0" w:space="0" w:color="auto"/>
            <w:left w:val="none" w:sz="0" w:space="0" w:color="auto"/>
            <w:bottom w:val="none" w:sz="0" w:space="0" w:color="auto"/>
            <w:right w:val="none" w:sz="0" w:space="0" w:color="auto"/>
          </w:divBdr>
        </w:div>
        <w:div w:id="670985845">
          <w:marLeft w:val="0"/>
          <w:marRight w:val="0"/>
          <w:marTop w:val="0"/>
          <w:marBottom w:val="0"/>
          <w:divBdr>
            <w:top w:val="none" w:sz="0" w:space="0" w:color="auto"/>
            <w:left w:val="none" w:sz="0" w:space="0" w:color="auto"/>
            <w:bottom w:val="none" w:sz="0" w:space="0" w:color="auto"/>
            <w:right w:val="none" w:sz="0" w:space="0" w:color="auto"/>
          </w:divBdr>
        </w:div>
        <w:div w:id="1838155585">
          <w:marLeft w:val="0"/>
          <w:marRight w:val="0"/>
          <w:marTop w:val="0"/>
          <w:marBottom w:val="0"/>
          <w:divBdr>
            <w:top w:val="none" w:sz="0" w:space="0" w:color="auto"/>
            <w:left w:val="none" w:sz="0" w:space="0" w:color="auto"/>
            <w:bottom w:val="none" w:sz="0" w:space="0" w:color="auto"/>
            <w:right w:val="none" w:sz="0" w:space="0" w:color="auto"/>
          </w:divBdr>
        </w:div>
      </w:divsChild>
    </w:div>
    <w:div w:id="1551264142">
      <w:bodyDiv w:val="1"/>
      <w:marLeft w:val="0"/>
      <w:marRight w:val="0"/>
      <w:marTop w:val="0"/>
      <w:marBottom w:val="0"/>
      <w:divBdr>
        <w:top w:val="none" w:sz="0" w:space="0" w:color="auto"/>
        <w:left w:val="none" w:sz="0" w:space="0" w:color="auto"/>
        <w:bottom w:val="none" w:sz="0" w:space="0" w:color="auto"/>
        <w:right w:val="none" w:sz="0" w:space="0" w:color="auto"/>
      </w:divBdr>
      <w:divsChild>
        <w:div w:id="913006672">
          <w:marLeft w:val="0"/>
          <w:marRight w:val="0"/>
          <w:marTop w:val="0"/>
          <w:marBottom w:val="0"/>
          <w:divBdr>
            <w:top w:val="none" w:sz="0" w:space="0" w:color="auto"/>
            <w:left w:val="none" w:sz="0" w:space="0" w:color="auto"/>
            <w:bottom w:val="none" w:sz="0" w:space="0" w:color="auto"/>
            <w:right w:val="none" w:sz="0" w:space="0" w:color="auto"/>
          </w:divBdr>
        </w:div>
        <w:div w:id="710151256">
          <w:marLeft w:val="0"/>
          <w:marRight w:val="0"/>
          <w:marTop w:val="0"/>
          <w:marBottom w:val="0"/>
          <w:divBdr>
            <w:top w:val="none" w:sz="0" w:space="0" w:color="auto"/>
            <w:left w:val="none" w:sz="0" w:space="0" w:color="auto"/>
            <w:bottom w:val="none" w:sz="0" w:space="0" w:color="auto"/>
            <w:right w:val="none" w:sz="0" w:space="0" w:color="auto"/>
          </w:divBdr>
        </w:div>
        <w:div w:id="1975211940">
          <w:marLeft w:val="0"/>
          <w:marRight w:val="0"/>
          <w:marTop w:val="0"/>
          <w:marBottom w:val="0"/>
          <w:divBdr>
            <w:top w:val="none" w:sz="0" w:space="0" w:color="auto"/>
            <w:left w:val="none" w:sz="0" w:space="0" w:color="auto"/>
            <w:bottom w:val="none" w:sz="0" w:space="0" w:color="auto"/>
            <w:right w:val="none" w:sz="0" w:space="0" w:color="auto"/>
          </w:divBdr>
        </w:div>
        <w:div w:id="465123893">
          <w:marLeft w:val="0"/>
          <w:marRight w:val="0"/>
          <w:marTop w:val="0"/>
          <w:marBottom w:val="0"/>
          <w:divBdr>
            <w:top w:val="none" w:sz="0" w:space="0" w:color="auto"/>
            <w:left w:val="none" w:sz="0" w:space="0" w:color="auto"/>
            <w:bottom w:val="none" w:sz="0" w:space="0" w:color="auto"/>
            <w:right w:val="none" w:sz="0" w:space="0" w:color="auto"/>
          </w:divBdr>
        </w:div>
        <w:div w:id="2109498140">
          <w:marLeft w:val="0"/>
          <w:marRight w:val="0"/>
          <w:marTop w:val="0"/>
          <w:marBottom w:val="0"/>
          <w:divBdr>
            <w:top w:val="none" w:sz="0" w:space="0" w:color="auto"/>
            <w:left w:val="none" w:sz="0" w:space="0" w:color="auto"/>
            <w:bottom w:val="none" w:sz="0" w:space="0" w:color="auto"/>
            <w:right w:val="none" w:sz="0" w:space="0" w:color="auto"/>
          </w:divBdr>
        </w:div>
        <w:div w:id="839540567">
          <w:marLeft w:val="0"/>
          <w:marRight w:val="0"/>
          <w:marTop w:val="0"/>
          <w:marBottom w:val="0"/>
          <w:divBdr>
            <w:top w:val="none" w:sz="0" w:space="0" w:color="auto"/>
            <w:left w:val="none" w:sz="0" w:space="0" w:color="auto"/>
            <w:bottom w:val="none" w:sz="0" w:space="0" w:color="auto"/>
            <w:right w:val="none" w:sz="0" w:space="0" w:color="auto"/>
          </w:divBdr>
        </w:div>
        <w:div w:id="192040629">
          <w:marLeft w:val="0"/>
          <w:marRight w:val="0"/>
          <w:marTop w:val="0"/>
          <w:marBottom w:val="0"/>
          <w:divBdr>
            <w:top w:val="none" w:sz="0" w:space="0" w:color="auto"/>
            <w:left w:val="none" w:sz="0" w:space="0" w:color="auto"/>
            <w:bottom w:val="none" w:sz="0" w:space="0" w:color="auto"/>
            <w:right w:val="none" w:sz="0" w:space="0" w:color="auto"/>
          </w:divBdr>
        </w:div>
        <w:div w:id="479541745">
          <w:marLeft w:val="0"/>
          <w:marRight w:val="0"/>
          <w:marTop w:val="0"/>
          <w:marBottom w:val="0"/>
          <w:divBdr>
            <w:top w:val="none" w:sz="0" w:space="0" w:color="auto"/>
            <w:left w:val="none" w:sz="0" w:space="0" w:color="auto"/>
            <w:bottom w:val="none" w:sz="0" w:space="0" w:color="auto"/>
            <w:right w:val="none" w:sz="0" w:space="0" w:color="auto"/>
          </w:divBdr>
        </w:div>
        <w:div w:id="1758014083">
          <w:marLeft w:val="0"/>
          <w:marRight w:val="0"/>
          <w:marTop w:val="0"/>
          <w:marBottom w:val="0"/>
          <w:divBdr>
            <w:top w:val="none" w:sz="0" w:space="0" w:color="auto"/>
            <w:left w:val="none" w:sz="0" w:space="0" w:color="auto"/>
            <w:bottom w:val="none" w:sz="0" w:space="0" w:color="auto"/>
            <w:right w:val="none" w:sz="0" w:space="0" w:color="auto"/>
          </w:divBdr>
        </w:div>
        <w:div w:id="735007683">
          <w:marLeft w:val="0"/>
          <w:marRight w:val="0"/>
          <w:marTop w:val="0"/>
          <w:marBottom w:val="0"/>
          <w:divBdr>
            <w:top w:val="none" w:sz="0" w:space="0" w:color="auto"/>
            <w:left w:val="none" w:sz="0" w:space="0" w:color="auto"/>
            <w:bottom w:val="none" w:sz="0" w:space="0" w:color="auto"/>
            <w:right w:val="none" w:sz="0" w:space="0" w:color="auto"/>
          </w:divBdr>
        </w:div>
        <w:div w:id="624699333">
          <w:marLeft w:val="0"/>
          <w:marRight w:val="0"/>
          <w:marTop w:val="0"/>
          <w:marBottom w:val="0"/>
          <w:divBdr>
            <w:top w:val="none" w:sz="0" w:space="0" w:color="auto"/>
            <w:left w:val="none" w:sz="0" w:space="0" w:color="auto"/>
            <w:bottom w:val="none" w:sz="0" w:space="0" w:color="auto"/>
            <w:right w:val="none" w:sz="0" w:space="0" w:color="auto"/>
          </w:divBdr>
        </w:div>
        <w:div w:id="905651180">
          <w:marLeft w:val="0"/>
          <w:marRight w:val="0"/>
          <w:marTop w:val="0"/>
          <w:marBottom w:val="0"/>
          <w:divBdr>
            <w:top w:val="none" w:sz="0" w:space="0" w:color="auto"/>
            <w:left w:val="none" w:sz="0" w:space="0" w:color="auto"/>
            <w:bottom w:val="none" w:sz="0" w:space="0" w:color="auto"/>
            <w:right w:val="none" w:sz="0" w:space="0" w:color="auto"/>
          </w:divBdr>
        </w:div>
        <w:div w:id="108742515">
          <w:marLeft w:val="0"/>
          <w:marRight w:val="0"/>
          <w:marTop w:val="0"/>
          <w:marBottom w:val="0"/>
          <w:divBdr>
            <w:top w:val="none" w:sz="0" w:space="0" w:color="auto"/>
            <w:left w:val="none" w:sz="0" w:space="0" w:color="auto"/>
            <w:bottom w:val="none" w:sz="0" w:space="0" w:color="auto"/>
            <w:right w:val="none" w:sz="0" w:space="0" w:color="auto"/>
          </w:divBdr>
        </w:div>
        <w:div w:id="963928358">
          <w:marLeft w:val="0"/>
          <w:marRight w:val="0"/>
          <w:marTop w:val="0"/>
          <w:marBottom w:val="0"/>
          <w:divBdr>
            <w:top w:val="none" w:sz="0" w:space="0" w:color="auto"/>
            <w:left w:val="none" w:sz="0" w:space="0" w:color="auto"/>
            <w:bottom w:val="none" w:sz="0" w:space="0" w:color="auto"/>
            <w:right w:val="none" w:sz="0" w:space="0" w:color="auto"/>
          </w:divBdr>
        </w:div>
        <w:div w:id="15904569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15</Pages>
  <Words>1849</Words>
  <Characters>10540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8</cp:revision>
  <cp:lastPrinted>2026-04-20T09:07:00Z</cp:lastPrinted>
  <dcterms:created xsi:type="dcterms:W3CDTF">2026-04-19T21:14:00Z</dcterms:created>
  <dcterms:modified xsi:type="dcterms:W3CDTF">2026-04-20T09:08:00Z</dcterms:modified>
</cp:coreProperties>
</file>