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05F6" w:rsidRDefault="005005F6" w:rsidP="005005F6">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5005F6">
        <w:rPr>
          <w:rFonts w:ascii="Segoe UI" w:eastAsia="Times New Roman" w:hAnsi="Segoe UI" w:cs="Segoe UI"/>
          <w:b/>
          <w:bCs/>
          <w:color w:val="0F1115"/>
          <w:kern w:val="36"/>
          <w:sz w:val="36"/>
          <w:szCs w:val="36"/>
        </w:rPr>
        <w:t>Gender Studies and Development as an Interdisciplinary Social Science</w:t>
      </w:r>
    </w:p>
    <w:p w:rsidR="005005F6" w:rsidRPr="00472FC0" w:rsidRDefault="005005F6" w:rsidP="005005F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5005F6" w:rsidRPr="005005F6" w:rsidRDefault="005005F6" w:rsidP="003F7A1C">
      <w:pPr>
        <w:shd w:val="clear" w:color="auto" w:fill="FFFFFF"/>
        <w:spacing w:before="240" w:after="240" w:line="240" w:lineRule="auto"/>
        <w:jc w:val="both"/>
        <w:rPr>
          <w:rFonts w:ascii="Segoe UI" w:eastAsia="Times New Roman" w:hAnsi="Segoe UI" w:cs="Segoe UI"/>
          <w:color w:val="0F1115"/>
          <w:sz w:val="24"/>
          <w:szCs w:val="24"/>
        </w:rPr>
      </w:pPr>
      <w:r w:rsidRPr="005005F6">
        <w:rPr>
          <w:rFonts w:ascii="Segoe UI" w:eastAsia="Times New Roman" w:hAnsi="Segoe UI" w:cs="Segoe UI"/>
          <w:color w:val="0F1115"/>
          <w:sz w:val="24"/>
          <w:szCs w:val="24"/>
        </w:rPr>
        <w:t>Why do men and women often have different job opportunities, pay rates, and career trajectories? Why are women disproportionately affected by poverty, violence, and lack of political representation in many societies? Why do transgender and non-binary individuals face discrimination in healthcare, housing, and employment? These questions are not merely about individual experiences. They are about social structures, cultural norms, economic systems, and political power. Gender studies and development is an interdisciplinary field that examines how gender shapes every dimension of human life – from family relationships to global economic policies. Unlike approaches that treat gender as a fixed, biological category, gender studies understands gender as a social construction that varies across cultures, changes over time, and intersects with race, class, sexuality, and other forms of identity. As an applied field, gender and development uses research to inform policies and programs that promote gender equality and social justice.</w:t>
      </w:r>
    </w:p>
    <w:p w:rsidR="005005F6" w:rsidRPr="005005F6" w:rsidRDefault="005005F6" w:rsidP="003F7A1C">
      <w:pPr>
        <w:shd w:val="clear" w:color="auto" w:fill="FFFFFF"/>
        <w:spacing w:before="240" w:after="240" w:line="240" w:lineRule="auto"/>
        <w:jc w:val="both"/>
        <w:rPr>
          <w:rFonts w:ascii="Segoe UI" w:eastAsia="Times New Roman" w:hAnsi="Segoe UI" w:cs="Segoe UI"/>
          <w:color w:val="0F1115"/>
          <w:sz w:val="24"/>
          <w:szCs w:val="24"/>
        </w:rPr>
      </w:pPr>
      <w:r w:rsidRPr="005005F6">
        <w:rPr>
          <w:rFonts w:ascii="Segoe UI" w:eastAsia="Times New Roman" w:hAnsi="Segoe UI" w:cs="Segoe UI"/>
          <w:color w:val="0F1115"/>
          <w:sz w:val="24"/>
          <w:szCs w:val="24"/>
        </w:rPr>
        <w:t>This reading material examines what gender studies and development is, explores key theories and concepts, describes methods of inquiry, explains the interdisciplinary nature of the field, and outlines career opportunities.</w:t>
      </w:r>
    </w:p>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pict>
          <v:rect id="_x0000_i1025"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Part 1: What Is Gender Studies and Development?</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Defining Gender Studies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Gender studies</w:t>
      </w:r>
      <w:r w:rsidRPr="005005F6">
        <w:rPr>
          <w:rFonts w:ascii="Segoe UI" w:eastAsia="Times New Roman" w:hAnsi="Segoe UI" w:cs="Segoe UI"/>
          <w:color w:val="0F1115"/>
          <w:sz w:val="24"/>
          <w:szCs w:val="24"/>
        </w:rPr>
        <w:t xml:space="preserve"> is an interdisciplinary academic field that analyzes how gender – as a social construct, not merely a biological fact – shapes identities, relationships, institutions, and power structures. It examines masculinity, femininity, and non-binary identities, as well as how gender intersects with race, class, sexuality, disability, and nationality. Gender studies does not assume that men are the universal human norm </w:t>
      </w:r>
      <w:r w:rsidRPr="005005F6">
        <w:rPr>
          <w:rFonts w:ascii="Segoe UI" w:eastAsia="Times New Roman" w:hAnsi="Segoe UI" w:cs="Segoe UI"/>
          <w:color w:val="0F1115"/>
          <w:sz w:val="24"/>
          <w:szCs w:val="24"/>
        </w:rPr>
        <w:lastRenderedPageBreak/>
        <w:t>and women the exception. Instead, it critically examines how societies define, enforce, and sometimes challenge gender norms.</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Defining Gender and Development</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Gender and development (GAD)</w:t>
      </w:r>
      <w:r w:rsidRPr="005005F6">
        <w:rPr>
          <w:rFonts w:ascii="Segoe UI" w:eastAsia="Times New Roman" w:hAnsi="Segoe UI" w:cs="Segoe UI"/>
          <w:color w:val="0F1115"/>
          <w:sz w:val="24"/>
          <w:szCs w:val="24"/>
        </w:rPr>
        <w:t> is both a field of study and an applied approach to policy and programming. It recognizes that development projects (in health, education, agriculture, economic policy) affect men and women differently because of existing gender inequalities. A development project that ignores gender may unintentionally worsen inequality. GAD seeks to integrate gender analysis into all stages of development planning – from needs assessment to implementation to evaluation.</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Key Distinctions</w:t>
      </w:r>
    </w:p>
    <w:tbl>
      <w:tblPr>
        <w:tblW w:w="11280" w:type="dxa"/>
        <w:tblCellMar>
          <w:top w:w="15" w:type="dxa"/>
          <w:left w:w="15" w:type="dxa"/>
          <w:bottom w:w="15" w:type="dxa"/>
          <w:right w:w="15" w:type="dxa"/>
        </w:tblCellMar>
        <w:tblLook w:val="04A0" w:firstRow="1" w:lastRow="0" w:firstColumn="1" w:lastColumn="0" w:noHBand="0" w:noVBand="1"/>
      </w:tblPr>
      <w:tblGrid>
        <w:gridCol w:w="1578"/>
        <w:gridCol w:w="4619"/>
        <w:gridCol w:w="5083"/>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Example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Sex</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Biological categories (male, female, intersex) based on chromosomes, hormones, and anatomy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A person assigned female at birth based on genitalia</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Socially constructed roles, behaviors, expressions, and identities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Expectations that women should be nurturing and men should be assertive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identity</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 person's internal sense of their own gender (man, woman, non-binary, agender, etc.)</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A person assigned male at birth who identifies as a woman (transgender woman)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expression</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How a person presents gender through clothing, behavior, voice, etc.</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Wearing makeup and dresses; shaving or growing facial hair</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equality</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Equal rights, responsibilities, and opportunities for all genders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Equal pay for equal work</w:t>
            </w:r>
          </w:p>
        </w:tc>
      </w:tr>
    </w:tbl>
    <w:p w:rsidR="003F7A1C" w:rsidRDefault="003F7A1C">
      <w:r>
        <w:br w:type="page"/>
      </w:r>
      <w:bookmarkStart w:id="0" w:name="_GoBack"/>
      <w:bookmarkEnd w:id="0"/>
    </w:p>
    <w:tbl>
      <w:tblPr>
        <w:tblW w:w="11280" w:type="dxa"/>
        <w:tblCellMar>
          <w:top w:w="15" w:type="dxa"/>
          <w:left w:w="15" w:type="dxa"/>
          <w:bottom w:w="15" w:type="dxa"/>
          <w:right w:w="15" w:type="dxa"/>
        </w:tblCellMar>
        <w:tblLook w:val="04A0" w:firstRow="1" w:lastRow="0" w:firstColumn="1" w:lastColumn="0" w:noHBand="0" w:noVBand="1"/>
      </w:tblPr>
      <w:tblGrid>
        <w:gridCol w:w="1293"/>
        <w:gridCol w:w="4377"/>
        <w:gridCol w:w="5610"/>
      </w:tblGrid>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Gender equity</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Fair treatment that may require different approaches to achieve equality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Providing maternity leave (different treatment) to achieve workplace equality</w:t>
            </w:r>
          </w:p>
        </w:tc>
      </w:tr>
    </w:tbl>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Why Gender Studies and Development Matters</w:t>
      </w:r>
    </w:p>
    <w:tbl>
      <w:tblPr>
        <w:tblW w:w="11280" w:type="dxa"/>
        <w:tblCellMar>
          <w:top w:w="15" w:type="dxa"/>
          <w:left w:w="15" w:type="dxa"/>
          <w:bottom w:w="15" w:type="dxa"/>
          <w:right w:w="15" w:type="dxa"/>
        </w:tblCellMar>
        <w:tblLook w:val="04A0" w:firstRow="1" w:lastRow="0" w:firstColumn="1" w:lastColumn="0" w:noHBand="0" w:noVBand="1"/>
      </w:tblPr>
      <w:tblGrid>
        <w:gridCol w:w="2898"/>
        <w:gridCol w:w="8382"/>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Explanation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Reveals hidden inequalities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Gender studies makes visible inequalities that are often taken for granted as "natural"</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Informs better policy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Development policies that ignore gender often fail or cause harm</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Challenges stereotypes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Examines how cultural beliefs limit opportunities for all genders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Empowers marginalized groups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Provides frameworks for advocacy and social change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Addresses global challenges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Poverty, climate change, conflict, and health crises affect genders differently</w:t>
            </w:r>
          </w:p>
        </w:tc>
      </w:tr>
    </w:tbl>
    <w:p w:rsidR="003F7A1C" w:rsidRDefault="003F7A1C" w:rsidP="005005F6">
      <w:pPr>
        <w:spacing w:before="480" w:after="480" w:line="240" w:lineRule="auto"/>
        <w:rPr>
          <w:rFonts w:ascii="Times New Roman" w:eastAsia="Times New Roman" w:hAnsi="Times New Roman" w:cs="Times New Roman"/>
          <w:sz w:val="24"/>
          <w:szCs w:val="24"/>
        </w:rPr>
      </w:pPr>
    </w:p>
    <w:p w:rsidR="003F7A1C" w:rsidRDefault="003F7A1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lastRenderedPageBreak/>
        <w:pict>
          <v:rect id="_x0000_i1026"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Part 2: Key Theories and Concepts in Gender Studies and Development</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Foundational Theories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Feminist Theory</w:t>
      </w:r>
    </w:p>
    <w:p w:rsidR="005005F6" w:rsidRPr="005005F6" w:rsidRDefault="005005F6" w:rsidP="003F7A1C">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Core Idea:</w:t>
      </w:r>
      <w:r w:rsidRPr="005005F6">
        <w:rPr>
          <w:rFonts w:ascii="Segoe UI" w:eastAsia="Times New Roman" w:hAnsi="Segoe UI" w:cs="Segoe UI"/>
          <w:color w:val="0F1115"/>
          <w:sz w:val="24"/>
          <w:szCs w:val="24"/>
        </w:rPr>
        <w:t> Feminism is both an intellectual framework and a political movement that seeks to understand and eliminate gender inequality. Feminist theory analyzes how patriarchal systems (social structures that privilege men) shape every institution: family, education, law, religion, medicine, and media. It argues that women's subordination is not natural or inevitable but socially constructed and therefore changeable. Feminist theory has evolved through multiple "waves" and encompasses diverse perspectives (liberal, radical, socialist, postcolonial, postmodern).</w:t>
      </w:r>
    </w:p>
    <w:p w:rsidR="005005F6" w:rsidRPr="005005F6" w:rsidRDefault="005005F6" w:rsidP="003F7A1C">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Key Concepts:</w:t>
      </w:r>
      <w:r w:rsidRPr="005005F6">
        <w:rPr>
          <w:rFonts w:ascii="Segoe UI" w:eastAsia="Times New Roman" w:hAnsi="Segoe UI" w:cs="Segoe UI"/>
          <w:color w:val="0F1115"/>
          <w:sz w:val="24"/>
          <w:szCs w:val="24"/>
        </w:rPr>
        <w:t> Patriarchy, sexism, misogyny, intersectionality, the personal is political</w:t>
      </w:r>
    </w:p>
    <w:p w:rsidR="005005F6" w:rsidRPr="005005F6" w:rsidRDefault="005005F6" w:rsidP="003F7A1C">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Application:</w:t>
      </w:r>
      <w:r w:rsidRPr="005005F6">
        <w:rPr>
          <w:rFonts w:ascii="Segoe UI" w:eastAsia="Times New Roman" w:hAnsi="Segoe UI" w:cs="Segoe UI"/>
          <w:color w:val="0F1115"/>
          <w:sz w:val="24"/>
          <w:szCs w:val="24"/>
        </w:rPr>
        <w:t> Analyzing how workplace policies disadvantage working mothers; critiquing media representations of women; advocating for reproductive rights</w:t>
      </w:r>
    </w:p>
    <w:p w:rsidR="005005F6" w:rsidRPr="005005F6" w:rsidRDefault="005005F6" w:rsidP="003F7A1C">
      <w:pPr>
        <w:shd w:val="clear" w:color="auto" w:fill="FFFFFF"/>
        <w:tabs>
          <w:tab w:val="num" w:pos="360"/>
        </w:tabs>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Queer Theory</w:t>
      </w:r>
    </w:p>
    <w:p w:rsidR="005005F6" w:rsidRPr="005005F6" w:rsidRDefault="005005F6" w:rsidP="003F7A1C">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Core Idea:</w:t>
      </w:r>
      <w:r w:rsidRPr="005005F6">
        <w:rPr>
          <w:rFonts w:ascii="Segoe UI" w:eastAsia="Times New Roman" w:hAnsi="Segoe UI" w:cs="Segoe UI"/>
          <w:color w:val="0F1115"/>
          <w:sz w:val="24"/>
          <w:szCs w:val="24"/>
        </w:rPr>
        <w:t> Queer theory challenges fixed, binary categories of sex, gender, and sexuality. It argues that identities are fluid, performative, and socially constructed rather than natural or essential. Queer theory critiques the assumption that heterosexuality is normal and homosexuality is deviant (heteronormativity). It also questions the binary of male/female, arguing that many individuals exist outside or between these categories (non-binary, genderqueer, agender).</w:t>
      </w:r>
    </w:p>
    <w:p w:rsidR="005005F6" w:rsidRPr="005005F6" w:rsidRDefault="005005F6" w:rsidP="003F7A1C">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Key Concepts:</w:t>
      </w:r>
      <w:r w:rsidRPr="005005F6">
        <w:rPr>
          <w:rFonts w:ascii="Segoe UI" w:eastAsia="Times New Roman" w:hAnsi="Segoe UI" w:cs="Segoe UI"/>
          <w:color w:val="0F1115"/>
          <w:sz w:val="24"/>
          <w:szCs w:val="24"/>
        </w:rPr>
        <w:t> Heteronormativity, performativity (Judith Butler), the matrix of intelligibility, anti-essentialism</w:t>
      </w:r>
    </w:p>
    <w:p w:rsidR="005005F6" w:rsidRPr="005005F6" w:rsidRDefault="005005F6" w:rsidP="003F7A1C">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Application:</w:t>
      </w:r>
      <w:r w:rsidRPr="005005F6">
        <w:rPr>
          <w:rFonts w:ascii="Segoe UI" w:eastAsia="Times New Roman" w:hAnsi="Segoe UI" w:cs="Segoe UI"/>
          <w:color w:val="0F1115"/>
          <w:sz w:val="24"/>
          <w:szCs w:val="24"/>
        </w:rPr>
        <w:t> Critiquing policies that recognize only male/female; analyzing how language reinforces binary gender; supporting non-binary and transgender rights</w:t>
      </w:r>
    </w:p>
    <w:p w:rsidR="005005F6" w:rsidRPr="005005F6" w:rsidRDefault="005005F6" w:rsidP="003F7A1C">
      <w:pPr>
        <w:shd w:val="clear" w:color="auto" w:fill="FFFFFF"/>
        <w:tabs>
          <w:tab w:val="num" w:pos="360"/>
        </w:tabs>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Intersectionality</w:t>
      </w:r>
    </w:p>
    <w:p w:rsidR="005005F6" w:rsidRPr="005005F6" w:rsidRDefault="005005F6" w:rsidP="003F7A1C">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Core Idea:</w:t>
      </w:r>
      <w:r w:rsidRPr="005005F6">
        <w:rPr>
          <w:rFonts w:ascii="Segoe UI" w:eastAsia="Times New Roman" w:hAnsi="Segoe UI" w:cs="Segoe UI"/>
          <w:color w:val="0F1115"/>
          <w:sz w:val="24"/>
          <w:szCs w:val="24"/>
        </w:rPr>
        <w:t xml:space="preserve"> Intersectionality, coined by legal scholar Kimberlé Crenshaw, argues that gender does not operate in isolation. It intersects with race, class, sexuality, disability, nationality, and other dimensions of identity to produce unique experiences of privilege and oppression. A Black woman experiences sexism differently than a white woman </w:t>
      </w:r>
      <w:r w:rsidRPr="005005F6">
        <w:rPr>
          <w:rFonts w:ascii="Segoe UI" w:eastAsia="Times New Roman" w:hAnsi="Segoe UI" w:cs="Segoe UI"/>
          <w:color w:val="0F1115"/>
          <w:sz w:val="24"/>
          <w:szCs w:val="24"/>
        </w:rPr>
        <w:lastRenderedPageBreak/>
        <w:t>(race matters) and racism differently than a Black man (gender matters). Analyzing only gender or only race misses the distinct experience at their intersection.</w:t>
      </w:r>
    </w:p>
    <w:p w:rsidR="005005F6" w:rsidRPr="005005F6" w:rsidRDefault="005005F6" w:rsidP="003F7A1C">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Key Concepts:</w:t>
      </w:r>
      <w:r w:rsidRPr="005005F6">
        <w:rPr>
          <w:rFonts w:ascii="Segoe UI" w:eastAsia="Times New Roman" w:hAnsi="Segoe UI" w:cs="Segoe UI"/>
          <w:color w:val="0F1115"/>
          <w:sz w:val="24"/>
          <w:szCs w:val="24"/>
        </w:rPr>
        <w:t> Interlocking oppressions; matrix of domination (Patricia Hill Collins); multiple marginalization</w:t>
      </w:r>
    </w:p>
    <w:p w:rsidR="005005F6" w:rsidRPr="005005F6" w:rsidRDefault="005005F6" w:rsidP="003F7A1C">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Application:</w:t>
      </w:r>
      <w:r w:rsidRPr="005005F6">
        <w:rPr>
          <w:rFonts w:ascii="Segoe UI" w:eastAsia="Times New Roman" w:hAnsi="Segoe UI" w:cs="Segoe UI"/>
          <w:color w:val="0F1115"/>
          <w:sz w:val="24"/>
          <w:szCs w:val="24"/>
        </w:rPr>
        <w:t> Designing programs that address the specific needs of subgroups (e.g., immigrant women, disabled women, Indigenous women); avoiding a "one-size-fits-all" approach to gender equality</w:t>
      </w:r>
    </w:p>
    <w:p w:rsidR="005005F6" w:rsidRPr="005005F6" w:rsidRDefault="005005F6" w:rsidP="003F7A1C">
      <w:pPr>
        <w:shd w:val="clear" w:color="auto" w:fill="FFFFFF"/>
        <w:tabs>
          <w:tab w:val="num" w:pos="360"/>
        </w:tabs>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Key Concepts in Gender and Development</w:t>
      </w:r>
    </w:p>
    <w:p w:rsidR="005005F6" w:rsidRPr="005005F6" w:rsidRDefault="005005F6" w:rsidP="003F7A1C">
      <w:pPr>
        <w:shd w:val="clear" w:color="auto" w:fill="FFFFFF"/>
        <w:tabs>
          <w:tab w:val="num" w:pos="360"/>
        </w:tabs>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Gender Mainstreaming</w:t>
      </w:r>
    </w:p>
    <w:p w:rsidR="005005F6" w:rsidRPr="005005F6" w:rsidRDefault="005005F6" w:rsidP="003F7A1C">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Definition:</w:t>
      </w:r>
      <w:r w:rsidRPr="005005F6">
        <w:rPr>
          <w:rFonts w:ascii="Segoe UI" w:eastAsia="Times New Roman" w:hAnsi="Segoe UI" w:cs="Segoe UI"/>
          <w:color w:val="0F1115"/>
          <w:sz w:val="24"/>
          <w:szCs w:val="24"/>
        </w:rPr>
        <w:t> The strategy of integrating gender perspectives into all policies, programs, and institutions – not treating gender as a separate "add-on" issue.</w:t>
      </w:r>
    </w:p>
    <w:p w:rsidR="005005F6" w:rsidRPr="005005F6" w:rsidRDefault="005005F6" w:rsidP="003F7A1C">
      <w:pPr>
        <w:numPr>
          <w:ilvl w:val="0"/>
          <w:numId w:val="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Example:</w:t>
      </w:r>
      <w:r w:rsidRPr="005005F6">
        <w:rPr>
          <w:rFonts w:ascii="Segoe UI" w:eastAsia="Times New Roman" w:hAnsi="Segoe UI" w:cs="Segoe UI"/>
          <w:color w:val="0F1115"/>
          <w:sz w:val="24"/>
          <w:szCs w:val="24"/>
        </w:rPr>
        <w:t> A transportation department considers that women and men have different travel patterns (women more likely to make multiple short trips for caregiving) when planning bus routes.</w:t>
      </w:r>
    </w:p>
    <w:p w:rsidR="005005F6" w:rsidRPr="005005F6" w:rsidRDefault="005005F6" w:rsidP="003F7A1C">
      <w:pPr>
        <w:shd w:val="clear" w:color="auto" w:fill="FFFFFF"/>
        <w:tabs>
          <w:tab w:val="num" w:pos="360"/>
        </w:tabs>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Gender Analysis</w:t>
      </w:r>
    </w:p>
    <w:p w:rsidR="005005F6" w:rsidRPr="005005F6" w:rsidRDefault="005005F6" w:rsidP="003F7A1C">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Definition:</w:t>
      </w:r>
      <w:r w:rsidRPr="005005F6">
        <w:rPr>
          <w:rFonts w:ascii="Segoe UI" w:eastAsia="Times New Roman" w:hAnsi="Segoe UI" w:cs="Segoe UI"/>
          <w:color w:val="0F1115"/>
          <w:sz w:val="24"/>
          <w:szCs w:val="24"/>
        </w:rPr>
        <w:t> A systematic examination of how a policy, program, or project will affect different genders differently.</w:t>
      </w:r>
    </w:p>
    <w:p w:rsidR="005005F6" w:rsidRPr="005005F6" w:rsidRDefault="005005F6" w:rsidP="003F7A1C">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Tools:</w:t>
      </w:r>
      <w:r w:rsidRPr="005005F6">
        <w:rPr>
          <w:rFonts w:ascii="Segoe UI" w:eastAsia="Times New Roman" w:hAnsi="Segoe UI" w:cs="Segoe UI"/>
          <w:color w:val="0F1115"/>
          <w:sz w:val="24"/>
          <w:szCs w:val="24"/>
        </w:rPr>
        <w:t> Frameworks such as Harvard Analytical Framework, Moser Framework, Gender Analysis Matrix (GAM)</w:t>
      </w:r>
    </w:p>
    <w:p w:rsidR="005005F6" w:rsidRPr="005005F6" w:rsidRDefault="005005F6" w:rsidP="003F7A1C">
      <w:pPr>
        <w:numPr>
          <w:ilvl w:val="0"/>
          <w:numId w:val="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Example:</w:t>
      </w:r>
      <w:r w:rsidRPr="005005F6">
        <w:rPr>
          <w:rFonts w:ascii="Segoe UI" w:eastAsia="Times New Roman" w:hAnsi="Segoe UI" w:cs="Segoe UI"/>
          <w:color w:val="0F1115"/>
          <w:sz w:val="24"/>
          <w:szCs w:val="24"/>
        </w:rPr>
        <w:t> Before building a well, ask who collects water (women and girls), how much time it takes, and whether the new well reduces that burden or creates new conflicts.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Women in Development (WID) vs. Gender and Development (GAD)</w:t>
      </w:r>
    </w:p>
    <w:tbl>
      <w:tblPr>
        <w:tblW w:w="0" w:type="auto"/>
        <w:tblCellMar>
          <w:top w:w="15" w:type="dxa"/>
          <w:left w:w="15" w:type="dxa"/>
          <w:bottom w:w="15" w:type="dxa"/>
          <w:right w:w="15" w:type="dxa"/>
        </w:tblCellMar>
        <w:tblLook w:val="04A0" w:firstRow="1" w:lastRow="0" w:firstColumn="1" w:lastColumn="0" w:noHBand="0" w:noVBand="1"/>
      </w:tblPr>
      <w:tblGrid>
        <w:gridCol w:w="1941"/>
        <w:gridCol w:w="1361"/>
        <w:gridCol w:w="3547"/>
        <w:gridCol w:w="2751"/>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Approach</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Era</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Core Idea</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Limitation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Women in Development (WID)</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1970s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Integrate women into development projects; focus on women's income-generating activities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Treated women as a separate category; did not address underlying gender relations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 xml:space="preserve">Gender and Development </w:t>
            </w:r>
            <w:r w:rsidRPr="005005F6">
              <w:rPr>
                <w:rFonts w:ascii="Segoe UI" w:eastAsia="Times New Roman" w:hAnsi="Segoe UI" w:cs="Segoe UI"/>
                <w:sz w:val="23"/>
                <w:szCs w:val="23"/>
              </w:rPr>
              <w:lastRenderedPageBreak/>
              <w:t>(GAD)</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1980s-present</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 xml:space="preserve">Analyze and transform unequal power relations </w:t>
            </w:r>
            <w:r w:rsidRPr="005005F6">
              <w:rPr>
                <w:rFonts w:ascii="Segoe UI" w:eastAsia="Times New Roman" w:hAnsi="Segoe UI" w:cs="Segoe UI"/>
                <w:sz w:val="23"/>
                <w:szCs w:val="23"/>
              </w:rPr>
              <w:lastRenderedPageBreak/>
              <w:t>between women and men; includes men as part of the solution</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More complex; requires institutional change</w:t>
            </w:r>
          </w:p>
        </w:tc>
      </w:tr>
    </w:tbl>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lastRenderedPageBreak/>
        <w:t>Empowerment</w:t>
      </w:r>
    </w:p>
    <w:p w:rsidR="005005F6" w:rsidRPr="005005F6" w:rsidRDefault="005005F6" w:rsidP="003F7A1C">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Definition:</w:t>
      </w:r>
      <w:r w:rsidRPr="005005F6">
        <w:rPr>
          <w:rFonts w:ascii="Segoe UI" w:eastAsia="Times New Roman" w:hAnsi="Segoe UI" w:cs="Segoe UI"/>
          <w:color w:val="0F1115"/>
          <w:sz w:val="24"/>
          <w:szCs w:val="24"/>
        </w:rPr>
        <w:t> The process by which individuals and groups gain control over their own lives, make strategic choices, and challenge existing power structures.</w:t>
      </w:r>
    </w:p>
    <w:p w:rsidR="005005F6" w:rsidRPr="005005F6" w:rsidRDefault="005005F6" w:rsidP="003F7A1C">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5005F6">
        <w:rPr>
          <w:rFonts w:ascii="Segoe UI" w:eastAsia="Times New Roman" w:hAnsi="Segoe UI" w:cs="Segoe UI"/>
          <w:i/>
          <w:iCs/>
          <w:color w:val="0F1115"/>
          <w:sz w:val="24"/>
          <w:szCs w:val="24"/>
        </w:rPr>
        <w:t>Dimensions:</w:t>
      </w:r>
      <w:r w:rsidRPr="005005F6">
        <w:rPr>
          <w:rFonts w:ascii="Segoe UI" w:eastAsia="Times New Roman" w:hAnsi="Segoe UI" w:cs="Segoe UI"/>
          <w:color w:val="0F1115"/>
          <w:sz w:val="24"/>
          <w:szCs w:val="24"/>
        </w:rPr>
        <w:t> Economic empowerment (income, assets), political empowerment (representation, voice), social empowerment (mobility, decision-making in household), psychological empowerment (self-esteem, agency)</w:t>
      </w:r>
    </w:p>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pict>
          <v:rect id="_x0000_i1027"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Part 3: Methods of Inquiry in Gender Studies and Development</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color w:val="0F1115"/>
          <w:sz w:val="24"/>
          <w:szCs w:val="24"/>
        </w:rPr>
        <w:t>Gender studies researchers use qualitative, quantitative, and mixed methods. However, they pay particular attention to power dynamics in the research process – who defines the research question, who collects data, who interprets findings, and who benefits.</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Common Research Methods</w:t>
      </w:r>
    </w:p>
    <w:tbl>
      <w:tblPr>
        <w:tblW w:w="0" w:type="auto"/>
        <w:tblCellMar>
          <w:top w:w="15" w:type="dxa"/>
          <w:left w:w="15" w:type="dxa"/>
          <w:bottom w:w="15" w:type="dxa"/>
          <w:right w:w="15" w:type="dxa"/>
        </w:tblCellMar>
        <w:tblLook w:val="04A0" w:firstRow="1" w:lastRow="0" w:firstColumn="1" w:lastColumn="0" w:noHBand="0" w:noVBand="1"/>
      </w:tblPr>
      <w:tblGrid>
        <w:gridCol w:w="1922"/>
        <w:gridCol w:w="2380"/>
        <w:gridCol w:w="2581"/>
        <w:gridCol w:w="2717"/>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When to Use</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Gender-Specific Consideration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In-depth interviews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One-on-one conversations exploring lived experience</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Understanding how individuals experience gender; sensitive topics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Ensure privacy; use same-gender interviewers if preferred; trauma-informed approach</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Focus group discussions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Group conversations facilitated with 6-10 participants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Exploring shared norms, beliefs, and community attitudes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Separate groups by gender if discussing sensitive topics; observe who speaks and who is silent</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Participant observation</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Extended immersion in a community to observe daily life</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Understanding how gender operates in practice (not just what people say)</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Researchers must reflect on how their own gender affects access and observation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Surveys and questionnaires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Standardized questions administered to larger samples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Measuring prevalence of attitudes, behaviors, or experiences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Ensure questions are culturally appropriate; pre-test; include non-binary options when appropriate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Participatory action research (PAR)</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Community members participate as co-researchers, not subjects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Empowering marginalized groups; producing actionable knowledge</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Shifts power from researcher to community; builds local capacity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analysis frameworks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Structured tools for analyzing secondary data</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Analyzing policies, programs, or projects for gender impacts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Uses existing data systematically (e.g., Harvard Framework, Moser Framework)</w:t>
            </w:r>
          </w:p>
        </w:tc>
      </w:tr>
    </w:tbl>
    <w:p w:rsidR="003F7A1C" w:rsidRDefault="003F7A1C" w:rsidP="005005F6">
      <w:pPr>
        <w:shd w:val="clear" w:color="auto" w:fill="FFFFFF"/>
        <w:spacing w:before="480" w:after="240" w:line="450" w:lineRule="atLeast"/>
        <w:outlineLvl w:val="2"/>
        <w:rPr>
          <w:rFonts w:ascii="Segoe UI" w:eastAsia="Times New Roman" w:hAnsi="Segoe UI" w:cs="Segoe UI"/>
          <w:b/>
          <w:bCs/>
          <w:color w:val="0F1115"/>
          <w:sz w:val="30"/>
          <w:szCs w:val="30"/>
        </w:rPr>
      </w:pPr>
    </w:p>
    <w:p w:rsidR="003F7A1C" w:rsidRDefault="003F7A1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lastRenderedPageBreak/>
        <w:t>Feminist Research Principles</w:t>
      </w:r>
    </w:p>
    <w:tbl>
      <w:tblPr>
        <w:tblW w:w="11280" w:type="dxa"/>
        <w:tblCellMar>
          <w:top w:w="15" w:type="dxa"/>
          <w:left w:w="15" w:type="dxa"/>
          <w:bottom w:w="15" w:type="dxa"/>
          <w:right w:w="15" w:type="dxa"/>
        </w:tblCellMar>
        <w:tblLook w:val="04A0" w:firstRow="1" w:lastRow="0" w:firstColumn="1" w:lastColumn="0" w:noHBand="0" w:noVBand="1"/>
      </w:tblPr>
      <w:tblGrid>
        <w:gridCol w:w="3843"/>
        <w:gridCol w:w="7437"/>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Explanation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 should benefit women and marginalized groups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Not just produce knowledge for its own sake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 should be reflexive</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Researchers examine their own positionality (gender, race, class, etc.) and how it shapes the research</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 should avoid harm</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Protect participants from violence, stigma, or retaliation; ensure confidentiality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 should include diverse voices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Avoid assuming "women" or "men" are homogeneous groups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 should challenge power</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Question assumptions; expose inequalities; advocate for change</w:t>
            </w:r>
          </w:p>
        </w:tc>
      </w:tr>
    </w:tbl>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pict>
          <v:rect id="_x0000_i1028"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Part 4: The Interdisciplinary Nature of Gender Studies and Development</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color w:val="0F1115"/>
          <w:sz w:val="24"/>
          <w:szCs w:val="24"/>
        </w:rPr>
        <w:t>Gender studies is not housed within a single discipline. It draws from multiple social sciences and humanities, integrating their insights to understand complex gender dynamics.</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Disciplines Contributing to Gender Studies</w:t>
      </w:r>
    </w:p>
    <w:tbl>
      <w:tblPr>
        <w:tblW w:w="11280" w:type="dxa"/>
        <w:tblCellMar>
          <w:top w:w="15" w:type="dxa"/>
          <w:left w:w="15" w:type="dxa"/>
          <w:bottom w:w="15" w:type="dxa"/>
          <w:right w:w="15" w:type="dxa"/>
        </w:tblCellMar>
        <w:tblLook w:val="04A0" w:firstRow="1" w:lastRow="0" w:firstColumn="1" w:lastColumn="0" w:noHBand="0" w:noVBand="1"/>
      </w:tblPr>
      <w:tblGrid>
        <w:gridCol w:w="1764"/>
        <w:gridCol w:w="9516"/>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Discipline</w:t>
            </w:r>
          </w:p>
        </w:tc>
        <w:tc>
          <w:tcPr>
            <w:tcW w:w="0" w:type="auto"/>
            <w:tcBorders>
              <w:top w:val="nil"/>
            </w:tcBorders>
            <w:tcMar>
              <w:top w:w="150" w:type="dxa"/>
              <w:left w:w="240" w:type="dxa"/>
              <w:bottom w:w="150" w:type="dxa"/>
              <w:right w:w="24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Contribution to Gender Studies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Sociology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How gender structures social institutions (family, work, education, religion); social stratification; socialization; social movements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Anthropology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Cross-cultural variations in gender roles; how gender operates in different cultural contexts; ethnographic methods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Political Science</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Gender and political representation; feminist theories of the state; policy analysis; social movements and advocacy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Economics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Gender gaps in wages, employment, and assets; unpaid care work; feminist critiques of traditional economics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Psychology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Gender identity development; stereotypes and bias; sex differences research; feminist therapy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History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How gender roles have changed over time; women's history; histories of feminism and queer movements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Geography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Gendered spaces (public/private divide); how place and environment affect gender relations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Law</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Feminist jurisprudence; anti-discrimination law; reproductive rights; violence against women legislation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Public Health</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Maternal health; reproductive health; gender-based violence; LGBTQ+ health disparities</w:t>
            </w:r>
          </w:p>
        </w:tc>
      </w:tr>
    </w:tbl>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Interdisciplinary Approaches to Complex Problems</w:t>
      </w:r>
    </w:p>
    <w:tbl>
      <w:tblPr>
        <w:tblW w:w="11280" w:type="dxa"/>
        <w:tblCellMar>
          <w:top w:w="15" w:type="dxa"/>
          <w:left w:w="15" w:type="dxa"/>
          <w:bottom w:w="15" w:type="dxa"/>
          <w:right w:w="15" w:type="dxa"/>
        </w:tblCellMar>
        <w:tblLook w:val="04A0" w:firstRow="1" w:lastRow="0" w:firstColumn="1" w:lastColumn="0" w:noHBand="0" w:noVBand="1"/>
      </w:tblPr>
      <w:tblGrid>
        <w:gridCol w:w="1482"/>
        <w:gridCol w:w="2768"/>
        <w:gridCol w:w="7030"/>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Disciplines Involved</w:t>
            </w:r>
          </w:p>
        </w:tc>
        <w:tc>
          <w:tcPr>
            <w:tcW w:w="0" w:type="auto"/>
            <w:tcBorders>
              <w:top w:val="nil"/>
            </w:tcBorders>
            <w:tcMar>
              <w:top w:w="150" w:type="dxa"/>
              <w:left w:w="240" w:type="dxa"/>
              <w:bottom w:w="150" w:type="dxa"/>
              <w:right w:w="24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How They Work Together</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wage gap</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Economics, sociology, law, political science</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Economics measures gap; sociology analyzes occupational segregation; law evaluates anti-discrimination policies; political science studies political will for reform</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Violence against women</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Public health, law, psychology, sociology, anthropology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Public health tracks prevalence; law develops protections; psychology studies trauma; sociology analyzes social norms that enable violence; anthropology examines cultural variations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Child marriage</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Demography, education, economics, public health, law</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320"/>
              <w:rPr>
                <w:rFonts w:ascii="Segoe UI" w:eastAsia="Times New Roman" w:hAnsi="Segoe UI" w:cs="Segoe UI"/>
                <w:sz w:val="23"/>
                <w:szCs w:val="23"/>
              </w:rPr>
            </w:pPr>
            <w:r w:rsidRPr="005005F6">
              <w:rPr>
                <w:rFonts w:ascii="Segoe UI" w:eastAsia="Times New Roman" w:hAnsi="Segoe UI" w:cs="Segoe UI"/>
                <w:sz w:val="23"/>
                <w:szCs w:val="23"/>
              </w:rPr>
              <w:t>Demography measures prevalence; education studies girls' access to schooling; economics analyzes poverty drivers; public health tracks maternal and child health outcomes; law reforms marriage age</w:t>
            </w:r>
          </w:p>
        </w:tc>
      </w:tr>
    </w:tbl>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The Value of Interdisciplinarity</w:t>
      </w:r>
    </w:p>
    <w:tbl>
      <w:tblPr>
        <w:tblW w:w="11280" w:type="dxa"/>
        <w:tblCellMar>
          <w:top w:w="15" w:type="dxa"/>
          <w:left w:w="15" w:type="dxa"/>
          <w:bottom w:w="15" w:type="dxa"/>
          <w:right w:w="15" w:type="dxa"/>
        </w:tblCellMar>
        <w:tblLook w:val="04A0" w:firstRow="1" w:lastRow="0" w:firstColumn="1" w:lastColumn="0" w:noHBand="0" w:noVBand="1"/>
      </w:tblPr>
      <w:tblGrid>
        <w:gridCol w:w="2716"/>
        <w:gridCol w:w="8564"/>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Explanation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Completeness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No single discipline captures the full complexity of gender</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Mutual correction</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Insights from one discipline challenge assumptions in another</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Practical solutions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Real-world problems require multiple types of expertise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Innovation</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Creative solutions emerge at disciplinary boundaries</w:t>
            </w:r>
          </w:p>
        </w:tc>
      </w:tr>
    </w:tbl>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pict>
          <v:rect id="_x0000_i1029"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Part 5: Career Opportunities in Gender Studies and Development</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color w:val="0F1115"/>
          <w:sz w:val="24"/>
          <w:szCs w:val="24"/>
        </w:rPr>
        <w:t>Gender studies and development graduates work in government, non-profits, international organizations, research institutes, and private sector. The field emphasizes both analytical skills (research, policy analysis) and practical competencies (program design, advocacy, training).</w:t>
      </w:r>
    </w:p>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lastRenderedPageBreak/>
        <w:t>Career Pathways</w:t>
      </w:r>
    </w:p>
    <w:tbl>
      <w:tblPr>
        <w:tblW w:w="0" w:type="auto"/>
        <w:tblCellMar>
          <w:top w:w="15" w:type="dxa"/>
          <w:left w:w="15" w:type="dxa"/>
          <w:bottom w:w="15" w:type="dxa"/>
          <w:right w:w="15" w:type="dxa"/>
        </w:tblCellMar>
        <w:tblLook w:val="04A0" w:firstRow="1" w:lastRow="0" w:firstColumn="1" w:lastColumn="0" w:noHBand="0" w:noVBand="1"/>
      </w:tblPr>
      <w:tblGrid>
        <w:gridCol w:w="2541"/>
        <w:gridCol w:w="2348"/>
        <w:gridCol w:w="2368"/>
        <w:gridCol w:w="2343"/>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Typical Tasks</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Example Organizations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and Development Specialist</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International NGOs, UN agencies, government development agencies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Integrating gender analysis into programs; conducting gender audits; training staff</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UN Women, UNDP, Oxfam, CARE, World Bank</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Policy Analyst</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Government agencies, think tanks, advocacy organizations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Researching gender policies; writing policy briefs; testifying before legislative bodies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Philippine Commission on Women, Congressional committees, academe</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Researcher/Academic</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Universities, research institutes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Conducting research on gender topics; publishing findings; teaching courses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UP Center for Women's Studies, Ateneo Gender Hub, various universities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Program Officer</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Non-profit organizations, foundations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Designing and managing gender-focused programs; grant writing; monitoring and evaluation</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Women's rights organizations, LGBTQ+ advocacy groups, foundations</w:t>
            </w:r>
          </w:p>
        </w:tc>
      </w:tr>
    </w:tbl>
    <w:p w:rsidR="003F7A1C" w:rsidRDefault="003F7A1C">
      <w:r>
        <w:br w:type="page"/>
      </w:r>
    </w:p>
    <w:tbl>
      <w:tblPr>
        <w:tblW w:w="9600" w:type="dxa"/>
        <w:tblCellMar>
          <w:top w:w="15" w:type="dxa"/>
          <w:left w:w="15" w:type="dxa"/>
          <w:bottom w:w="15" w:type="dxa"/>
          <w:right w:w="15" w:type="dxa"/>
        </w:tblCellMar>
        <w:tblLook w:val="04A0" w:firstRow="1" w:lastRow="0" w:firstColumn="1" w:lastColumn="0" w:noHBand="0" w:noVBand="1"/>
      </w:tblPr>
      <w:tblGrid>
        <w:gridCol w:w="2716"/>
        <w:gridCol w:w="2280"/>
        <w:gridCol w:w="2512"/>
        <w:gridCol w:w="2092"/>
      </w:tblGrid>
      <w:tr w:rsidR="005005F6" w:rsidRPr="005005F6" w:rsidTr="003F7A1C">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Gender Focal Point</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Government agencies, corporations, international organizations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Advising leadership on gender issues; coordinating gender mainstreaming efforts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Department of Education, DILG, Philippine National Police, corporations</w:t>
            </w:r>
          </w:p>
        </w:tc>
      </w:tr>
      <w:tr w:rsidR="005005F6" w:rsidRPr="005005F6" w:rsidTr="003F7A1C">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Advocate/Community Organizer</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Grassroots organizations, NGOs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Mobilizing communities; campaigning for policy change; providing direct services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Gabriela, LGBTQ+ organizations, migrant worker centers</w:t>
            </w:r>
          </w:p>
        </w:tc>
      </w:tr>
      <w:tr w:rsidR="005005F6" w:rsidRPr="005005F6" w:rsidTr="003F7A1C">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Corporate Diversity, Equity, and Inclusion (DEI) Specialist</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Private corporations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Developing DEI policies; conducting training; analyzing representation data</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Multinational corporations, local companies with DEI programs</w:t>
            </w:r>
          </w:p>
        </w:tc>
      </w:tr>
      <w:tr w:rsidR="005005F6" w:rsidRPr="005005F6" w:rsidTr="003F7A1C">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Humanitarian Gender Advisor</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UN agencies, international NGOs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Ensuring humanitarian responses (disasters, conflicts) address gender-specific needs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UNHCR, IOM, International Rescue Committee</w:t>
            </w:r>
          </w:p>
        </w:tc>
      </w:tr>
      <w:tr w:rsidR="005005F6" w:rsidRPr="005005F6" w:rsidTr="003F7A1C">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Legal Advocate</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Legal aid organizations, NGOs, government human rights bodies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Litigating gender discrimination cases; advocating for legal reform</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Women's Legal Bureau, Free Legal Assistance Group (FLAG)</w:t>
            </w:r>
          </w:p>
        </w:tc>
      </w:tr>
    </w:tbl>
    <w:p w:rsidR="003F7A1C" w:rsidRDefault="003F7A1C">
      <w:r>
        <w:br w:type="page"/>
      </w:r>
    </w:p>
    <w:tbl>
      <w:tblPr>
        <w:tblW w:w="9600" w:type="dxa"/>
        <w:tblCellMar>
          <w:top w:w="15" w:type="dxa"/>
          <w:left w:w="15" w:type="dxa"/>
          <w:bottom w:w="15" w:type="dxa"/>
          <w:right w:w="15" w:type="dxa"/>
        </w:tblCellMar>
        <w:tblLook w:val="04A0" w:firstRow="1" w:lastRow="0" w:firstColumn="1" w:lastColumn="0" w:noHBand="0" w:noVBand="1"/>
      </w:tblPr>
      <w:tblGrid>
        <w:gridCol w:w="1681"/>
        <w:gridCol w:w="2269"/>
        <w:gridCol w:w="3681"/>
        <w:gridCol w:w="1969"/>
      </w:tblGrid>
      <w:tr w:rsidR="005005F6" w:rsidRPr="005005F6" w:rsidTr="003F7A1C">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lastRenderedPageBreak/>
              <w:t>Gender and Education Specialist</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Government education agencies, NGOs</w:t>
            </w:r>
          </w:p>
        </w:tc>
        <w:tc>
          <w:tcPr>
            <w:tcW w:w="0" w:type="auto"/>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Integrating gender perspectives into curriculum; training teachers; addressing gender-based violence in schools</w:t>
            </w:r>
          </w:p>
        </w:tc>
        <w:tc>
          <w:tcPr>
            <w:tcW w:w="0" w:type="auto"/>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DepEd, UNESCO, Plan International</w:t>
            </w:r>
          </w:p>
        </w:tc>
      </w:tr>
    </w:tbl>
    <w:p w:rsidR="005005F6" w:rsidRPr="005005F6" w:rsidRDefault="005005F6" w:rsidP="005005F6">
      <w:pPr>
        <w:shd w:val="clear" w:color="auto" w:fill="FFFFFF"/>
        <w:spacing w:before="480" w:after="240" w:line="450" w:lineRule="atLeast"/>
        <w:outlineLvl w:val="2"/>
        <w:rPr>
          <w:rFonts w:ascii="Segoe UI" w:eastAsia="Times New Roman" w:hAnsi="Segoe UI" w:cs="Segoe UI"/>
          <w:b/>
          <w:bCs/>
          <w:color w:val="0F1115"/>
          <w:sz w:val="30"/>
          <w:szCs w:val="30"/>
        </w:rPr>
      </w:pPr>
      <w:r w:rsidRPr="005005F6">
        <w:rPr>
          <w:rFonts w:ascii="Segoe UI" w:eastAsia="Times New Roman" w:hAnsi="Segoe UI" w:cs="Segoe UI"/>
          <w:b/>
          <w:bCs/>
          <w:color w:val="0F1115"/>
          <w:sz w:val="30"/>
          <w:szCs w:val="30"/>
        </w:rPr>
        <w:t>Gender Studies and Development in the Philippines</w:t>
      </w:r>
    </w:p>
    <w:tbl>
      <w:tblPr>
        <w:tblW w:w="11280" w:type="dxa"/>
        <w:tblCellMar>
          <w:top w:w="15" w:type="dxa"/>
          <w:left w:w="15" w:type="dxa"/>
          <w:bottom w:w="15" w:type="dxa"/>
          <w:right w:w="15" w:type="dxa"/>
        </w:tblCellMar>
        <w:tblLook w:val="04A0" w:firstRow="1" w:lastRow="0" w:firstColumn="1" w:lastColumn="0" w:noHBand="0" w:noVBand="1"/>
      </w:tblPr>
      <w:tblGrid>
        <w:gridCol w:w="2498"/>
        <w:gridCol w:w="8782"/>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Information</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Details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Key government agency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Philippine Commission on Women (PCW) – policy-making, coordination, monitoring</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Key legislation</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Republic Act 9710 (Magna Carta of Women) – comprehensive women's human rights law; Republic Act 11313 (Safe Spaces Act) – addressing gender-based harassment in public spaces, online, and workplaces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Magna Carta of Women (RA 9710) provisions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Women's rights in: health, education, employment, political participation, protection from violence; requires government agencies to adopt Gender and Development (GAD) budgets (at least 5% of total budget)</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GAD Budget policy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National and local government agencies must allocate at least 5% of their total budget to GAD programs and activities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Academic programs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BA/BS in Women's and Gender Studies, MA in Gender and Development, certificates in gender studies offered in several Philippine universities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Professional organizations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560"/>
              <w:rPr>
                <w:rFonts w:ascii="Segoe UI" w:eastAsia="Times New Roman" w:hAnsi="Segoe UI" w:cs="Segoe UI"/>
                <w:sz w:val="23"/>
                <w:szCs w:val="23"/>
              </w:rPr>
            </w:pPr>
            <w:r w:rsidRPr="005005F6">
              <w:rPr>
                <w:rFonts w:ascii="Segoe UI" w:eastAsia="Times New Roman" w:hAnsi="Segoe UI" w:cs="Segoe UI"/>
                <w:sz w:val="23"/>
                <w:szCs w:val="23"/>
              </w:rPr>
              <w:t>Philippine Feminist Research Network; Women's Studies Association of the Philippines (WSAP); National Network of GAD Focal Point Persons</w:t>
            </w:r>
          </w:p>
        </w:tc>
      </w:tr>
    </w:tbl>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lastRenderedPageBreak/>
        <w:pict>
          <v:rect id="_x0000_i1030"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686"/>
        <w:gridCol w:w="8594"/>
      </w:tblGrid>
      <w:tr w:rsidR="005005F6" w:rsidRPr="005005F6" w:rsidTr="005005F6">
        <w:trPr>
          <w:tblHeader/>
        </w:trPr>
        <w:tc>
          <w:tcPr>
            <w:tcW w:w="0" w:type="auto"/>
            <w:tcBorders>
              <w:top w:val="nil"/>
            </w:tcBorders>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Definition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studies</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Interdisciplinary study of how gender shapes identities, relationships, institutions, and power structures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and development (GAD)</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Approach to policy and programming that integrates gender analysis into all development activities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Sex</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Biological categories (male, female, intersex) based on chromosomes, hormones, and anatomy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Socially constructed roles, behaviors, expressions, and identities associated with being male, female, or non-binary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Intersectionality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Framework analyzing how gender intersects with race, class, sexuality, and other identities to produce unique experiences of privilege and oppression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Gender mainstreaming</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Strategy of integrating gender perspectives into all policies, programs, and institutions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Patriarchy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Social system in which men hold primary power in political, economic, and family institutions</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Heteronormativity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Assumption that heterosexuality is the normal or default sexual orientation</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Feminist theory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Intellectual framework analyzing and seeking to eliminate gender inequality</w:t>
            </w:r>
          </w:p>
        </w:tc>
      </w:tr>
      <w:tr w:rsidR="005005F6" w:rsidRPr="005005F6" w:rsidTr="005005F6">
        <w:tc>
          <w:tcPr>
            <w:tcW w:w="0" w:type="auto"/>
            <w:tcMar>
              <w:top w:w="150" w:type="dxa"/>
              <w:left w:w="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r w:rsidRPr="005005F6">
              <w:rPr>
                <w:rFonts w:ascii="Segoe UI" w:eastAsia="Times New Roman" w:hAnsi="Segoe UI" w:cs="Segoe UI"/>
                <w:sz w:val="23"/>
                <w:szCs w:val="23"/>
              </w:rPr>
              <w:t>Queer theory</w:t>
            </w:r>
          </w:p>
        </w:tc>
        <w:tc>
          <w:tcPr>
            <w:tcW w:w="0" w:type="auto"/>
            <w:tcMar>
              <w:top w:w="150" w:type="dxa"/>
              <w:left w:w="240" w:type="dxa"/>
              <w:bottom w:w="150" w:type="dxa"/>
              <w:right w:w="0" w:type="dxa"/>
            </w:tcMar>
            <w:vAlign w:val="center"/>
            <w:hideMark/>
          </w:tcPr>
          <w:p w:rsidR="005005F6" w:rsidRPr="005005F6" w:rsidRDefault="005005F6" w:rsidP="003F7A1C">
            <w:pPr>
              <w:spacing w:after="0" w:line="375" w:lineRule="atLeast"/>
              <w:ind w:right="1020"/>
              <w:rPr>
                <w:rFonts w:ascii="Segoe UI" w:eastAsia="Times New Roman" w:hAnsi="Segoe UI" w:cs="Segoe UI"/>
                <w:sz w:val="23"/>
                <w:szCs w:val="23"/>
              </w:rPr>
            </w:pPr>
            <w:r w:rsidRPr="005005F6">
              <w:rPr>
                <w:rFonts w:ascii="Segoe UI" w:eastAsia="Times New Roman" w:hAnsi="Segoe UI" w:cs="Segoe UI"/>
                <w:sz w:val="23"/>
                <w:szCs w:val="23"/>
              </w:rPr>
              <w:t>Framework challenging fixed, binary categories of sex</w:t>
            </w:r>
            <w:r w:rsidR="003F7A1C">
              <w:rPr>
                <w:rFonts w:ascii="Segoe UI" w:eastAsia="Times New Roman" w:hAnsi="Segoe UI" w:cs="Segoe UI"/>
                <w:sz w:val="23"/>
                <w:szCs w:val="23"/>
              </w:rPr>
              <w:t xml:space="preserve"> and</w:t>
            </w:r>
            <w:r w:rsidRPr="005005F6">
              <w:rPr>
                <w:rFonts w:ascii="Segoe UI" w:eastAsia="Times New Roman" w:hAnsi="Segoe UI" w:cs="Segoe UI"/>
                <w:sz w:val="23"/>
                <w:szCs w:val="23"/>
              </w:rPr>
              <w:t xml:space="preserve"> sexuality</w:t>
            </w:r>
          </w:p>
        </w:tc>
      </w:tr>
    </w:tbl>
    <w:p w:rsidR="005005F6" w:rsidRPr="005005F6" w:rsidRDefault="005005F6" w:rsidP="005005F6">
      <w:pPr>
        <w:spacing w:before="480" w:after="480" w:line="240" w:lineRule="auto"/>
        <w:rPr>
          <w:rFonts w:ascii="Times New Roman" w:eastAsia="Times New Roman" w:hAnsi="Times New Roman" w:cs="Times New Roman"/>
          <w:sz w:val="24"/>
          <w:szCs w:val="24"/>
        </w:rPr>
      </w:pPr>
      <w:r w:rsidRPr="005005F6">
        <w:rPr>
          <w:rFonts w:ascii="Times New Roman" w:eastAsia="Times New Roman" w:hAnsi="Times New Roman" w:cs="Times New Roman"/>
          <w:sz w:val="24"/>
          <w:szCs w:val="24"/>
        </w:rPr>
        <w:lastRenderedPageBreak/>
        <w:pict>
          <v:rect id="_x0000_i1031" style="width:0;height:.75pt" o:hralign="center" o:hrstd="t" o:hr="t" fillcolor="#a0a0a0" stroked="f"/>
        </w:pict>
      </w:r>
    </w:p>
    <w:p w:rsidR="005005F6" w:rsidRPr="005005F6" w:rsidRDefault="005005F6" w:rsidP="005005F6">
      <w:pPr>
        <w:shd w:val="clear" w:color="auto" w:fill="FFFFFF"/>
        <w:spacing w:before="480" w:after="240" w:line="480" w:lineRule="atLeast"/>
        <w:outlineLvl w:val="1"/>
        <w:rPr>
          <w:rFonts w:ascii="Segoe UI" w:eastAsia="Times New Roman" w:hAnsi="Segoe UI" w:cs="Segoe UI"/>
          <w:b/>
          <w:bCs/>
          <w:color w:val="0F1115"/>
          <w:sz w:val="33"/>
          <w:szCs w:val="33"/>
        </w:rPr>
      </w:pPr>
      <w:r w:rsidRPr="005005F6">
        <w:rPr>
          <w:rFonts w:ascii="Segoe UI" w:eastAsia="Times New Roman" w:hAnsi="Segoe UI" w:cs="Segoe UI"/>
          <w:b/>
          <w:bCs/>
          <w:color w:val="0F1115"/>
          <w:sz w:val="33"/>
          <w:szCs w:val="33"/>
        </w:rPr>
        <w:t>Review Questions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1.</w:t>
      </w:r>
      <w:r w:rsidRPr="005005F6">
        <w:rPr>
          <w:rFonts w:ascii="Segoe UI" w:eastAsia="Times New Roman" w:hAnsi="Segoe UI" w:cs="Segoe UI"/>
          <w:color w:val="0F1115"/>
          <w:sz w:val="24"/>
          <w:szCs w:val="24"/>
        </w:rPr>
        <w:t> Define gender studies and gender and development. How do they differ from simply "studying women"?</w:t>
      </w:r>
    </w:p>
    <w:tbl>
      <w:tblPr>
        <w:tblW w:w="11308" w:type="dxa"/>
        <w:tblCellMar>
          <w:top w:w="15" w:type="dxa"/>
          <w:left w:w="15" w:type="dxa"/>
          <w:bottom w:w="15" w:type="dxa"/>
          <w:right w:w="15" w:type="dxa"/>
        </w:tblCellMar>
        <w:tblLook w:val="04A0" w:firstRow="1" w:lastRow="0" w:firstColumn="1" w:lastColumn="0" w:noHBand="0" w:noVBand="1"/>
      </w:tblPr>
      <w:tblGrid>
        <w:gridCol w:w="8784"/>
        <w:gridCol w:w="500"/>
        <w:gridCol w:w="2024"/>
      </w:tblGrid>
      <w:tr w:rsidR="005005F6" w:rsidRPr="005005F6" w:rsidTr="003F7A1C">
        <w:tc>
          <w:tcPr>
            <w:tcW w:w="8784" w:type="dxa"/>
            <w:tcMar>
              <w:top w:w="150" w:type="dxa"/>
              <w:left w:w="0" w:type="dxa"/>
              <w:bottom w:w="150" w:type="dxa"/>
              <w:right w:w="240" w:type="dxa"/>
            </w:tcMar>
            <w:vAlign w:val="center"/>
            <w:hideMark/>
          </w:tcPr>
          <w:p w:rsidR="005005F6" w:rsidRPr="005005F6" w:rsidRDefault="005005F6" w:rsidP="003F7A1C">
            <w:pPr>
              <w:spacing w:after="0" w:line="375" w:lineRule="atLeast"/>
              <w:rPr>
                <w:rFonts w:ascii="Segoe UI" w:eastAsia="Times New Roman" w:hAnsi="Segoe UI" w:cs="Segoe UI"/>
                <w:sz w:val="23"/>
                <w:szCs w:val="23"/>
              </w:rPr>
            </w:pPr>
            <w:r w:rsidRPr="005005F6">
              <w:rPr>
                <w:rFonts w:ascii="Segoe UI" w:eastAsia="Times New Roman" w:hAnsi="Segoe UI" w:cs="Segoe UI"/>
                <w:b/>
                <w:bCs/>
                <w:color w:val="0F1115"/>
                <w:sz w:val="24"/>
                <w:szCs w:val="24"/>
              </w:rPr>
              <w:t>2.</w:t>
            </w:r>
            <w:r w:rsidRPr="005005F6">
              <w:rPr>
                <w:rFonts w:ascii="Segoe UI" w:eastAsia="Times New Roman" w:hAnsi="Segoe UI" w:cs="Segoe UI"/>
                <w:color w:val="0F1115"/>
                <w:sz w:val="24"/>
                <w:szCs w:val="24"/>
              </w:rPr>
              <w:t> </w:t>
            </w:r>
            <w:r w:rsidR="003F7A1C">
              <w:rPr>
                <w:rFonts w:ascii="Segoe UI" w:eastAsia="Times New Roman" w:hAnsi="Segoe UI" w:cs="Segoe UI"/>
                <w:color w:val="0F1115"/>
                <w:sz w:val="24"/>
                <w:szCs w:val="24"/>
              </w:rPr>
              <w:t xml:space="preserve">Define the following  </w:t>
            </w:r>
            <w:r w:rsidRPr="005005F6">
              <w:rPr>
                <w:rFonts w:ascii="Segoe UI" w:eastAsia="Times New Roman" w:hAnsi="Segoe UI" w:cs="Segoe UI"/>
                <w:color w:val="0F1115"/>
                <w:sz w:val="24"/>
                <w:szCs w:val="24"/>
              </w:rPr>
              <w:t>key terms</w:t>
            </w:r>
            <w:r w:rsidR="003F7A1C">
              <w:rPr>
                <w:rFonts w:ascii="Segoe UI" w:eastAsia="Times New Roman" w:hAnsi="Segoe UI" w:cs="Segoe UI"/>
                <w:color w:val="0F1115"/>
                <w:sz w:val="24"/>
                <w:szCs w:val="24"/>
              </w:rPr>
              <w:t xml:space="preserve"> and give an example for each</w:t>
            </w:r>
            <w:r w:rsidRPr="005005F6">
              <w:rPr>
                <w:rFonts w:ascii="Segoe UI" w:eastAsia="Times New Roman" w:hAnsi="Segoe UI" w:cs="Segoe UI"/>
                <w:color w:val="0F1115"/>
                <w:sz w:val="24"/>
                <w:szCs w:val="24"/>
              </w:rPr>
              <w:t>:</w:t>
            </w:r>
            <w:r w:rsidR="003F7A1C">
              <w:rPr>
                <w:rFonts w:ascii="Segoe UI" w:eastAsia="Times New Roman" w:hAnsi="Segoe UI" w:cs="Segoe UI"/>
                <w:color w:val="0F1115"/>
                <w:sz w:val="24"/>
                <w:szCs w:val="24"/>
              </w:rPr>
              <w:t xml:space="preserve"> </w:t>
            </w:r>
            <w:r w:rsidR="003F7A1C">
              <w:rPr>
                <w:rFonts w:ascii="Segoe UI" w:eastAsia="Times New Roman" w:hAnsi="Segoe UI" w:cs="Segoe UI"/>
                <w:sz w:val="23"/>
                <w:szCs w:val="23"/>
              </w:rPr>
              <w:t>s</w:t>
            </w:r>
            <w:r w:rsidRPr="005005F6">
              <w:rPr>
                <w:rFonts w:ascii="Segoe UI" w:eastAsia="Times New Roman" w:hAnsi="Segoe UI" w:cs="Segoe UI"/>
                <w:sz w:val="23"/>
                <w:szCs w:val="23"/>
              </w:rPr>
              <w:t>ex</w:t>
            </w:r>
            <w:r w:rsidR="003F7A1C">
              <w:rPr>
                <w:rFonts w:ascii="Segoe UI" w:eastAsia="Times New Roman" w:hAnsi="Segoe UI" w:cs="Segoe UI"/>
                <w:sz w:val="23"/>
                <w:szCs w:val="23"/>
              </w:rPr>
              <w:t>, gender, gender identity, gender expression</w:t>
            </w:r>
          </w:p>
        </w:tc>
        <w:tc>
          <w:tcPr>
            <w:tcW w:w="500" w:type="dxa"/>
            <w:tcMar>
              <w:top w:w="150" w:type="dxa"/>
              <w:left w:w="240" w:type="dxa"/>
              <w:bottom w:w="150" w:type="dxa"/>
              <w:right w:w="24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p>
        </w:tc>
        <w:tc>
          <w:tcPr>
            <w:tcW w:w="2024" w:type="dxa"/>
            <w:tcMar>
              <w:top w:w="150" w:type="dxa"/>
              <w:left w:w="240" w:type="dxa"/>
              <w:bottom w:w="150" w:type="dxa"/>
              <w:right w:w="0" w:type="dxa"/>
            </w:tcMar>
            <w:vAlign w:val="center"/>
            <w:hideMark/>
          </w:tcPr>
          <w:p w:rsidR="005005F6" w:rsidRPr="005005F6" w:rsidRDefault="005005F6" w:rsidP="005005F6">
            <w:pPr>
              <w:spacing w:after="0" w:line="375" w:lineRule="atLeast"/>
              <w:rPr>
                <w:rFonts w:ascii="Segoe UI" w:eastAsia="Times New Roman" w:hAnsi="Segoe UI" w:cs="Segoe UI"/>
                <w:sz w:val="23"/>
                <w:szCs w:val="23"/>
              </w:rPr>
            </w:pPr>
          </w:p>
        </w:tc>
      </w:tr>
    </w:tbl>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3.</w:t>
      </w:r>
      <w:r w:rsidRPr="005005F6">
        <w:rPr>
          <w:rFonts w:ascii="Segoe UI" w:eastAsia="Times New Roman" w:hAnsi="Segoe UI" w:cs="Segoe UI"/>
          <w:color w:val="0F1115"/>
          <w:sz w:val="24"/>
          <w:szCs w:val="24"/>
        </w:rPr>
        <w:t> Explain Intersectionality using an example that involves at least three dimensions of identity (e.g., gender, race, class).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4.</w:t>
      </w:r>
      <w:r w:rsidRPr="005005F6">
        <w:rPr>
          <w:rFonts w:ascii="Segoe UI" w:eastAsia="Times New Roman" w:hAnsi="Segoe UI" w:cs="Segoe UI"/>
          <w:color w:val="0F1115"/>
          <w:sz w:val="24"/>
          <w:szCs w:val="24"/>
        </w:rPr>
        <w:t> What is the difference between Women in Development (WID) and Gender and Development (GAD)? Why did GAD emerge as a critique of WID?</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5.</w:t>
      </w:r>
      <w:r w:rsidRPr="005005F6">
        <w:rPr>
          <w:rFonts w:ascii="Segoe UI" w:eastAsia="Times New Roman" w:hAnsi="Segoe UI" w:cs="Segoe UI"/>
          <w:color w:val="0F1115"/>
          <w:sz w:val="24"/>
          <w:szCs w:val="24"/>
        </w:rPr>
        <w:t> Describe two methods of inquiry used in gender studies from Part 3. For each, explain one gender-specific consideration researchers must address.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6.</w:t>
      </w:r>
      <w:r w:rsidRPr="005005F6">
        <w:rPr>
          <w:rFonts w:ascii="Segoe UI" w:eastAsia="Times New Roman" w:hAnsi="Segoe UI" w:cs="Segoe UI"/>
          <w:color w:val="0F1115"/>
          <w:sz w:val="24"/>
          <w:szCs w:val="24"/>
        </w:rPr>
        <w:t> Identify three disciplines that contribute to gender studies from Part 4. For each, explain one specific contribution that discipline makes.</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7.</w:t>
      </w:r>
      <w:r w:rsidRPr="005005F6">
        <w:rPr>
          <w:rFonts w:ascii="Segoe UI" w:eastAsia="Times New Roman" w:hAnsi="Segoe UI" w:cs="Segoe UI"/>
          <w:color w:val="0F1115"/>
          <w:sz w:val="24"/>
          <w:szCs w:val="24"/>
        </w:rPr>
        <w:t> What is the Philippine Magna Carta of Women (RA 9710)? What is the GAD Budget policy?</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8.</w:t>
      </w:r>
      <w:r w:rsidRPr="005005F6">
        <w:rPr>
          <w:rFonts w:ascii="Segoe UI" w:eastAsia="Times New Roman" w:hAnsi="Segoe UI" w:cs="Segoe UI"/>
          <w:color w:val="0F1115"/>
          <w:sz w:val="24"/>
          <w:szCs w:val="24"/>
        </w:rPr>
        <w:t> List three career pathways in gender studies and development from Part 5. For each, state the work setting and one typical task.</w:t>
      </w:r>
    </w:p>
    <w:p w:rsidR="005005F6" w:rsidRPr="005005F6" w:rsidRDefault="005005F6" w:rsidP="005005F6">
      <w:pPr>
        <w:shd w:val="clear" w:color="auto" w:fill="FFFFFF"/>
        <w:spacing w:before="240" w:after="240"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9.</w:t>
      </w:r>
      <w:r w:rsidRPr="005005F6">
        <w:rPr>
          <w:rFonts w:ascii="Segoe UI" w:eastAsia="Times New Roman" w:hAnsi="Segoe UI" w:cs="Segoe UI"/>
          <w:color w:val="0F1115"/>
          <w:sz w:val="24"/>
          <w:szCs w:val="24"/>
        </w:rPr>
        <w:t> Explain Queer Theory. What does it mean to say that gender is "performative" (Judith Butler)?</w:t>
      </w:r>
    </w:p>
    <w:p w:rsidR="005005F6" w:rsidRPr="005005F6" w:rsidRDefault="005005F6" w:rsidP="005005F6">
      <w:pPr>
        <w:shd w:val="clear" w:color="auto" w:fill="FFFFFF"/>
        <w:spacing w:before="240" w:after="100" w:afterAutospacing="1" w:line="240" w:lineRule="auto"/>
        <w:rPr>
          <w:rFonts w:ascii="Segoe UI" w:eastAsia="Times New Roman" w:hAnsi="Segoe UI" w:cs="Segoe UI"/>
          <w:color w:val="0F1115"/>
          <w:sz w:val="24"/>
          <w:szCs w:val="24"/>
        </w:rPr>
      </w:pPr>
      <w:r w:rsidRPr="005005F6">
        <w:rPr>
          <w:rFonts w:ascii="Segoe UI" w:eastAsia="Times New Roman" w:hAnsi="Segoe UI" w:cs="Segoe UI"/>
          <w:b/>
          <w:bCs/>
          <w:color w:val="0F1115"/>
          <w:sz w:val="24"/>
          <w:szCs w:val="24"/>
        </w:rPr>
        <w:t>10.</w:t>
      </w:r>
      <w:r w:rsidRPr="005005F6">
        <w:rPr>
          <w:rFonts w:ascii="Segoe UI" w:eastAsia="Times New Roman" w:hAnsi="Segoe UI" w:cs="Segoe UI"/>
          <w:color w:val="0F1115"/>
          <w:sz w:val="24"/>
          <w:szCs w:val="24"/>
        </w:rPr>
        <w:t> Application question: A local government wants to reduce teenage pregnancy rates. Using gender analysis (from Part 2), identify three questions a gender and development specialist would ask before designing a program. Why would these questions matter?</w:t>
      </w:r>
    </w:p>
    <w:p w:rsidR="00781E34" w:rsidRPr="005005F6" w:rsidRDefault="00781E34" w:rsidP="005005F6"/>
    <w:sectPr w:rsidR="00781E34" w:rsidRPr="00500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DD46FD"/>
    <w:multiLevelType w:val="multilevel"/>
    <w:tmpl w:val="4360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D8522D"/>
    <w:multiLevelType w:val="multilevel"/>
    <w:tmpl w:val="7A2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100806"/>
    <w:multiLevelType w:val="multilevel"/>
    <w:tmpl w:val="088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280FB2"/>
    <w:multiLevelType w:val="multilevel"/>
    <w:tmpl w:val="AD8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BF0282"/>
    <w:multiLevelType w:val="multilevel"/>
    <w:tmpl w:val="D65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97462B"/>
    <w:multiLevelType w:val="multilevel"/>
    <w:tmpl w:val="641C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3"/>
  </w:num>
  <w:num w:numId="5">
    <w:abstractNumId w:val="2"/>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33A68"/>
    <w:rsid w:val="000373E5"/>
    <w:rsid w:val="00044A27"/>
    <w:rsid w:val="00076572"/>
    <w:rsid w:val="00082535"/>
    <w:rsid w:val="000E59B3"/>
    <w:rsid w:val="00100ED4"/>
    <w:rsid w:val="0010593A"/>
    <w:rsid w:val="00130A41"/>
    <w:rsid w:val="00130ED9"/>
    <w:rsid w:val="001556FD"/>
    <w:rsid w:val="0016482E"/>
    <w:rsid w:val="00166E62"/>
    <w:rsid w:val="00173E7D"/>
    <w:rsid w:val="001E51B7"/>
    <w:rsid w:val="00201B49"/>
    <w:rsid w:val="00222705"/>
    <w:rsid w:val="002248DA"/>
    <w:rsid w:val="002B093A"/>
    <w:rsid w:val="002B4138"/>
    <w:rsid w:val="002B7827"/>
    <w:rsid w:val="002D577F"/>
    <w:rsid w:val="002F623A"/>
    <w:rsid w:val="003860CE"/>
    <w:rsid w:val="003C46C1"/>
    <w:rsid w:val="003E7C72"/>
    <w:rsid w:val="003F7A1C"/>
    <w:rsid w:val="004069AB"/>
    <w:rsid w:val="00424A65"/>
    <w:rsid w:val="00451783"/>
    <w:rsid w:val="00472FC0"/>
    <w:rsid w:val="00485F67"/>
    <w:rsid w:val="004B4BCB"/>
    <w:rsid w:val="004D3820"/>
    <w:rsid w:val="005005F6"/>
    <w:rsid w:val="00510A7C"/>
    <w:rsid w:val="00585880"/>
    <w:rsid w:val="005C0B78"/>
    <w:rsid w:val="005E5C7A"/>
    <w:rsid w:val="00602562"/>
    <w:rsid w:val="00612234"/>
    <w:rsid w:val="00613CC1"/>
    <w:rsid w:val="006402B2"/>
    <w:rsid w:val="00692377"/>
    <w:rsid w:val="00692C2C"/>
    <w:rsid w:val="00695F9F"/>
    <w:rsid w:val="006A3C56"/>
    <w:rsid w:val="00774420"/>
    <w:rsid w:val="007816EF"/>
    <w:rsid w:val="00781DEB"/>
    <w:rsid w:val="00781E34"/>
    <w:rsid w:val="00782409"/>
    <w:rsid w:val="0079051D"/>
    <w:rsid w:val="0079071D"/>
    <w:rsid w:val="007933D0"/>
    <w:rsid w:val="007A1976"/>
    <w:rsid w:val="007B3676"/>
    <w:rsid w:val="007E7E20"/>
    <w:rsid w:val="00823BE7"/>
    <w:rsid w:val="008339E0"/>
    <w:rsid w:val="008F3958"/>
    <w:rsid w:val="009A6C56"/>
    <w:rsid w:val="009C08F8"/>
    <w:rsid w:val="009E14BA"/>
    <w:rsid w:val="00A450A6"/>
    <w:rsid w:val="00A643DD"/>
    <w:rsid w:val="00A81D65"/>
    <w:rsid w:val="00AD774B"/>
    <w:rsid w:val="00B276A8"/>
    <w:rsid w:val="00BA0377"/>
    <w:rsid w:val="00BB29BE"/>
    <w:rsid w:val="00C06257"/>
    <w:rsid w:val="00C16041"/>
    <w:rsid w:val="00C21B8A"/>
    <w:rsid w:val="00C233A3"/>
    <w:rsid w:val="00C6299A"/>
    <w:rsid w:val="00C66E07"/>
    <w:rsid w:val="00C75B03"/>
    <w:rsid w:val="00C804B6"/>
    <w:rsid w:val="00C8457C"/>
    <w:rsid w:val="00CB23CC"/>
    <w:rsid w:val="00CB62A9"/>
    <w:rsid w:val="00CC111C"/>
    <w:rsid w:val="00CC48FA"/>
    <w:rsid w:val="00CF5652"/>
    <w:rsid w:val="00CF7E90"/>
    <w:rsid w:val="00D801BE"/>
    <w:rsid w:val="00DA5351"/>
    <w:rsid w:val="00DD0D9F"/>
    <w:rsid w:val="00DE0C8E"/>
    <w:rsid w:val="00DF00CC"/>
    <w:rsid w:val="00E0097D"/>
    <w:rsid w:val="00E41F60"/>
    <w:rsid w:val="00E46A58"/>
    <w:rsid w:val="00E909B0"/>
    <w:rsid w:val="00EA0456"/>
    <w:rsid w:val="00EA14E0"/>
    <w:rsid w:val="00EB7313"/>
    <w:rsid w:val="00F111C3"/>
    <w:rsid w:val="00F12CE5"/>
    <w:rsid w:val="00F80387"/>
    <w:rsid w:val="00FD01C3"/>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15</Pages>
  <Words>2882</Words>
  <Characters>16432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4</cp:revision>
  <cp:lastPrinted>2026-05-20T07:07:00Z</cp:lastPrinted>
  <dcterms:created xsi:type="dcterms:W3CDTF">2026-05-20T07:09:00Z</dcterms:created>
  <dcterms:modified xsi:type="dcterms:W3CDTF">2026-05-20T10:52:00Z</dcterms:modified>
</cp:coreProperties>
</file>