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3FE4" w:rsidRPr="00F23FE4" w:rsidRDefault="00F23FE4" w:rsidP="00F23FE4">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F23FE4">
        <w:rPr>
          <w:rFonts w:ascii="Segoe UI" w:eastAsia="Times New Roman" w:hAnsi="Segoe UI" w:cs="Segoe UI"/>
          <w:b/>
          <w:bCs/>
          <w:color w:val="0F1115"/>
          <w:kern w:val="36"/>
          <w:sz w:val="36"/>
          <w:szCs w:val="36"/>
        </w:rPr>
        <w:t>Computing Salary, Wage, and Commission</w:t>
      </w:r>
    </w:p>
    <w:p w:rsidR="00F23FE4" w:rsidRPr="00F23FE4" w:rsidRDefault="00F23FE4" w:rsidP="00F23FE4">
      <w:pPr>
        <w:spacing w:before="480" w:after="480" w:line="240" w:lineRule="auto"/>
        <w:rPr>
          <w:rFonts w:ascii="Times New Roman" w:eastAsia="Times New Roman" w:hAnsi="Times New Roman" w:cs="Times New Roman"/>
          <w:sz w:val="24"/>
          <w:szCs w:val="24"/>
        </w:rPr>
      </w:pPr>
      <w:r w:rsidRPr="00F23FE4">
        <w:rPr>
          <w:rFonts w:ascii="Times New Roman" w:eastAsia="Times New Roman" w:hAnsi="Times New Roman" w:cs="Times New Roman"/>
          <w:sz w:val="24"/>
          <w:szCs w:val="24"/>
        </w:rPr>
        <w:pict>
          <v:rect id="_x0000_i1025" style="width:0;height:.75pt" o:hralign="center" o:hrstd="t" o:hr="t" fillcolor="#a0a0a0" stroked="f"/>
        </w:pict>
      </w:r>
    </w:p>
    <w:p w:rsidR="00F23FE4" w:rsidRPr="00F23FE4" w:rsidRDefault="00F23FE4" w:rsidP="00F23FE4">
      <w:pPr>
        <w:shd w:val="clear" w:color="auto" w:fill="FFFFFF"/>
        <w:spacing w:before="480" w:after="240" w:line="480" w:lineRule="atLeast"/>
        <w:outlineLvl w:val="1"/>
        <w:rPr>
          <w:rFonts w:ascii="Segoe UI" w:eastAsia="Times New Roman" w:hAnsi="Segoe UI" w:cs="Segoe UI"/>
          <w:b/>
          <w:bCs/>
          <w:color w:val="0F1115"/>
          <w:sz w:val="33"/>
          <w:szCs w:val="33"/>
        </w:rPr>
      </w:pPr>
      <w:r w:rsidRPr="00F23FE4">
        <w:rPr>
          <w:rFonts w:ascii="Segoe UI" w:eastAsia="Times New Roman" w:hAnsi="Segoe UI" w:cs="Segoe UI"/>
          <w:b/>
          <w:bCs/>
          <w:color w:val="0F1115"/>
          <w:sz w:val="33"/>
          <w:szCs w:val="33"/>
        </w:rPr>
        <w:t>Introduction: Understanding How People Earn</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color w:val="0F1115"/>
          <w:sz w:val="24"/>
          <w:szCs w:val="24"/>
        </w:rPr>
        <w:t>Every day, millions of workers earn a living. A factory worker operates machinery for an hourly wage. A teacher prepares lessons for a fixed monthly salary. A sales agent closes deals and earns commissions. A freelance sewer completes pieces and gets paid per item. Each of these workers receives income, but the way their earnings are calculated differs significantly.</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color w:val="0F1115"/>
          <w:sz w:val="24"/>
          <w:szCs w:val="24"/>
        </w:rPr>
        <w:t>Understanding how different types of income are computed is not merely an academic exercise. It is a practical life skill. When a person understands how wages, salaries, commissions, and deductions work, they can make informed decisions about job offers, negotiate fair pay, plan budgets, and evaluate the true value of their earnings. In the Philippines, where many families rely on detailed budgeting to make ends meet, this knowledge is especially valuable.</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color w:val="0F1115"/>
          <w:sz w:val="24"/>
          <w:szCs w:val="24"/>
        </w:rPr>
        <w:t>This reading material examines the key concepts of salary, wage, commission, and piecework earnings. It also explores the difference between gross income and net income, the mandatory government deductions (SSS, PhilHealth, Pag-IBIG, and withholding tax), and the practical application of these concepts using spreadsheets and manual calculations.</w:t>
      </w:r>
    </w:p>
    <w:p w:rsidR="00F23FE4" w:rsidRPr="00F23FE4" w:rsidRDefault="00F23FE4" w:rsidP="00F23FE4">
      <w:pPr>
        <w:spacing w:before="480" w:after="480" w:line="240" w:lineRule="auto"/>
        <w:rPr>
          <w:rFonts w:ascii="Times New Roman" w:eastAsia="Times New Roman" w:hAnsi="Times New Roman" w:cs="Times New Roman"/>
          <w:sz w:val="24"/>
          <w:szCs w:val="24"/>
        </w:rPr>
      </w:pPr>
      <w:r w:rsidRPr="00F23FE4">
        <w:rPr>
          <w:rFonts w:ascii="Times New Roman" w:eastAsia="Times New Roman" w:hAnsi="Times New Roman" w:cs="Times New Roman"/>
          <w:sz w:val="24"/>
          <w:szCs w:val="24"/>
        </w:rPr>
        <w:pict>
          <v:rect id="_x0000_i1026" style="width:0;height:.75pt" o:hralign="center" o:hrstd="t" o:hr="t" fillcolor="#a0a0a0" stroked="f"/>
        </w:pict>
      </w:r>
    </w:p>
    <w:p w:rsidR="00F23FE4" w:rsidRPr="00F23FE4" w:rsidRDefault="00F23FE4" w:rsidP="00F23FE4">
      <w:pPr>
        <w:shd w:val="clear" w:color="auto" w:fill="FFFFFF"/>
        <w:spacing w:before="480" w:after="240" w:line="480" w:lineRule="atLeast"/>
        <w:outlineLvl w:val="1"/>
        <w:rPr>
          <w:rFonts w:ascii="Segoe UI" w:eastAsia="Times New Roman" w:hAnsi="Segoe UI" w:cs="Segoe UI"/>
          <w:b/>
          <w:bCs/>
          <w:color w:val="0F1115"/>
          <w:sz w:val="33"/>
          <w:szCs w:val="33"/>
        </w:rPr>
      </w:pPr>
      <w:r w:rsidRPr="00F23FE4">
        <w:rPr>
          <w:rFonts w:ascii="Segoe UI" w:eastAsia="Times New Roman" w:hAnsi="Segoe UI" w:cs="Segoe UI"/>
          <w:b/>
          <w:bCs/>
          <w:color w:val="0F1115"/>
          <w:sz w:val="33"/>
          <w:szCs w:val="33"/>
        </w:rPr>
        <w:t>Part 1: Key Concepts — Salary, Wage, Commission, and Piecework</w:t>
      </w:r>
    </w:p>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Salary</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t>Definition:</w:t>
      </w:r>
      <w:r w:rsidRPr="00F23FE4">
        <w:rPr>
          <w:rFonts w:ascii="Segoe UI" w:eastAsia="Times New Roman" w:hAnsi="Segoe UI" w:cs="Segoe UI"/>
          <w:color w:val="0F1115"/>
          <w:sz w:val="24"/>
          <w:szCs w:val="24"/>
        </w:rPr>
        <w:t> A fixed regular payment, typically paid monthly, semi-monthly, or weekly, especially for professional, managerial, or administrative positions.</w:t>
      </w:r>
    </w:p>
    <w:tbl>
      <w:tblPr>
        <w:tblW w:w="11280" w:type="dxa"/>
        <w:tblCellMar>
          <w:top w:w="15" w:type="dxa"/>
          <w:left w:w="15" w:type="dxa"/>
          <w:bottom w:w="15" w:type="dxa"/>
          <w:right w:w="15" w:type="dxa"/>
        </w:tblCellMar>
        <w:tblLook w:val="04A0" w:firstRow="1" w:lastRow="0" w:firstColumn="1" w:lastColumn="0" w:noHBand="0" w:noVBand="1"/>
      </w:tblPr>
      <w:tblGrid>
        <w:gridCol w:w="2867"/>
        <w:gridCol w:w="5926"/>
        <w:gridCol w:w="2487"/>
      </w:tblGrid>
      <w:tr w:rsidR="00F23FE4" w:rsidRPr="00F23FE4" w:rsidTr="00F23FE4">
        <w:trPr>
          <w:tblHeader/>
        </w:trPr>
        <w:tc>
          <w:tcPr>
            <w:tcW w:w="0" w:type="auto"/>
            <w:tcBorders>
              <w:top w:val="nil"/>
            </w:tcBorders>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lastRenderedPageBreak/>
              <w:t>Type of Salary</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Formula</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Annual Salary</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Total amount earned in one year</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Given</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Monthly Salary</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Fixed amount earned every month</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Annual Salary ÷ 12</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Semi-monthly Salary</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Amount earned twice a month (every 15 days)</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Monthly Salary ÷ 2</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Weekly Salary</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Amount earned per week</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Annual Salary ÷ 52</w:t>
            </w:r>
          </w:p>
        </w:tc>
      </w:tr>
    </w:tbl>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t>Example:</w:t>
      </w:r>
      <w:r w:rsidRPr="00F23FE4">
        <w:rPr>
          <w:rFonts w:ascii="Segoe UI" w:eastAsia="Times New Roman" w:hAnsi="Segoe UI" w:cs="Segoe UI"/>
          <w:color w:val="0F1115"/>
          <w:sz w:val="24"/>
          <w:szCs w:val="24"/>
        </w:rPr>
        <w:t> A teacher has an annual salary of ₱384,000. Her monthly salary is ₱384,000 ÷ 12 = ₱32,000. Her weekly salary is ₱384,000 ÷ 52 = ₱7,384.62.</w:t>
      </w:r>
    </w:p>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Wage</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t>Definition:</w:t>
      </w:r>
      <w:r w:rsidRPr="00F23FE4">
        <w:rPr>
          <w:rFonts w:ascii="Segoe UI" w:eastAsia="Times New Roman" w:hAnsi="Segoe UI" w:cs="Segoe UI"/>
          <w:color w:val="0F1115"/>
          <w:sz w:val="24"/>
          <w:szCs w:val="24"/>
        </w:rPr>
        <w:t> Remuneration or earnings based on time worked — hourly, daily, or weekly — or on tasks completed.</w:t>
      </w:r>
    </w:p>
    <w:tbl>
      <w:tblPr>
        <w:tblW w:w="11280" w:type="dxa"/>
        <w:tblCellMar>
          <w:top w:w="15" w:type="dxa"/>
          <w:left w:w="15" w:type="dxa"/>
          <w:bottom w:w="15" w:type="dxa"/>
          <w:right w:w="15" w:type="dxa"/>
        </w:tblCellMar>
        <w:tblLook w:val="04A0" w:firstRow="1" w:lastRow="0" w:firstColumn="1" w:lastColumn="0" w:noHBand="0" w:noVBand="1"/>
      </w:tblPr>
      <w:tblGrid>
        <w:gridCol w:w="1694"/>
        <w:gridCol w:w="5076"/>
        <w:gridCol w:w="4510"/>
      </w:tblGrid>
      <w:tr w:rsidR="00F23FE4" w:rsidRPr="00F23FE4" w:rsidTr="00F23FE4">
        <w:trPr>
          <w:tblHeader/>
        </w:trPr>
        <w:tc>
          <w:tcPr>
            <w:tcW w:w="0" w:type="auto"/>
            <w:tcBorders>
              <w:top w:val="nil"/>
            </w:tcBorders>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Type of Wage</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Formula</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Hourly Wage</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Amount earned for each hour worked</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Hourly rate × hours worked</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Daily Wage</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Amount earned per day of actual work</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Daily rate × days worked</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Overtime Pay</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Extra pay for working beyond 8 hours per day</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Regular hourly rate × 1.25 (or as specified)</w:t>
            </w:r>
          </w:p>
        </w:tc>
      </w:tr>
    </w:tbl>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t>Example:</w:t>
      </w:r>
      <w:r w:rsidRPr="00F23FE4">
        <w:rPr>
          <w:rFonts w:ascii="Segoe UI" w:eastAsia="Times New Roman" w:hAnsi="Segoe UI" w:cs="Segoe UI"/>
          <w:color w:val="0F1115"/>
          <w:sz w:val="24"/>
          <w:szCs w:val="24"/>
        </w:rPr>
        <w:t> A factory worker earns ₱105 per hour and works 40 regular hours. His regular weekly wage is ₱105 × 40 = ₱4,200. If he works 5 overtime hours at 1.25 times his regular rate, his overtime pay is ₱105 × 1.25 × 5 = ₱656.25. His total weekly wage is ₱4,200 + ₱656.25 = ₱4,856.25.</w:t>
      </w:r>
    </w:p>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Commission</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t>Definition:</w:t>
      </w:r>
      <w:r w:rsidRPr="00F23FE4">
        <w:rPr>
          <w:rFonts w:ascii="Segoe UI" w:eastAsia="Times New Roman" w:hAnsi="Segoe UI" w:cs="Segoe UI"/>
          <w:color w:val="0F1115"/>
          <w:sz w:val="24"/>
          <w:szCs w:val="24"/>
        </w:rPr>
        <w:t> Income earned as a percentage of sales made. It can be pure commission (no base salary) or base salary plus commission.</w:t>
      </w:r>
    </w:p>
    <w:tbl>
      <w:tblPr>
        <w:tblW w:w="11280" w:type="dxa"/>
        <w:tblCellMar>
          <w:top w:w="15" w:type="dxa"/>
          <w:left w:w="15" w:type="dxa"/>
          <w:bottom w:w="15" w:type="dxa"/>
          <w:right w:w="15" w:type="dxa"/>
        </w:tblCellMar>
        <w:tblLook w:val="04A0" w:firstRow="1" w:lastRow="0" w:firstColumn="1" w:lastColumn="0" w:noHBand="0" w:noVBand="1"/>
      </w:tblPr>
      <w:tblGrid>
        <w:gridCol w:w="2809"/>
        <w:gridCol w:w="4711"/>
        <w:gridCol w:w="3760"/>
      </w:tblGrid>
      <w:tr w:rsidR="00F23FE4" w:rsidRPr="00F23FE4" w:rsidTr="00F23FE4">
        <w:trPr>
          <w:tblHeader/>
        </w:trPr>
        <w:tc>
          <w:tcPr>
            <w:tcW w:w="0" w:type="auto"/>
            <w:tcBorders>
              <w:top w:val="nil"/>
            </w:tcBorders>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lastRenderedPageBreak/>
              <w:t>Type of Commission</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Formula</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Pure Commission</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Entire income comes from a percentage of sales</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Sales × commission rate</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Base Salary + Commission</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Fixed salary plus additional percentage of sales</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Base salary + (Sales × commission rate)</w:t>
            </w:r>
          </w:p>
        </w:tc>
      </w:tr>
    </w:tbl>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t>Example:</w:t>
      </w:r>
      <w:r w:rsidRPr="00F23FE4">
        <w:rPr>
          <w:rFonts w:ascii="Segoe UI" w:eastAsia="Times New Roman" w:hAnsi="Segoe UI" w:cs="Segoe UI"/>
          <w:color w:val="0F1115"/>
          <w:sz w:val="24"/>
          <w:szCs w:val="24"/>
        </w:rPr>
        <w:t> A sales agent earns a ₱7,000 monthly base salary plus 5% commission on total sales. In one month, she sold ₱100,000 worth of products. Her commission is ₱100,000 × 5% = ₱5,000. Her total monthly income is ₱7,000 + ₱5,000 = ₱12,000.</w:t>
      </w:r>
    </w:p>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Piecework</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t>Definition:</w:t>
      </w:r>
      <w:r w:rsidRPr="00F23FE4">
        <w:rPr>
          <w:rFonts w:ascii="Segoe UI" w:eastAsia="Times New Roman" w:hAnsi="Segoe UI" w:cs="Segoe UI"/>
          <w:color w:val="0F1115"/>
          <w:sz w:val="24"/>
          <w:szCs w:val="24"/>
        </w:rPr>
        <w:t> Earnings based on the number of items or products completed, regardless of time spent.</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t>Formula:</w:t>
      </w:r>
      <w:r w:rsidRPr="00F23FE4">
        <w:rPr>
          <w:rFonts w:ascii="Segoe UI" w:eastAsia="Times New Roman" w:hAnsi="Segoe UI" w:cs="Segoe UI"/>
          <w:color w:val="0F1115"/>
          <w:sz w:val="24"/>
          <w:szCs w:val="24"/>
        </w:rPr>
        <w:t> Piecework earnings = Number of units × rate per unit</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t>Example:</w:t>
      </w:r>
      <w:r w:rsidRPr="00F23FE4">
        <w:rPr>
          <w:rFonts w:ascii="Segoe UI" w:eastAsia="Times New Roman" w:hAnsi="Segoe UI" w:cs="Segoe UI"/>
          <w:color w:val="0F1115"/>
          <w:sz w:val="24"/>
          <w:szCs w:val="24"/>
        </w:rPr>
        <w:t> A sewer is paid ₱25 per face mask. She completes 200 masks in a week. Her weekly earnings are ₱25 × 200 = ₱5,000.</w:t>
      </w:r>
    </w:p>
    <w:p w:rsidR="00F23FE4" w:rsidRPr="00F23FE4" w:rsidRDefault="00F23FE4" w:rsidP="00F23FE4">
      <w:pPr>
        <w:spacing w:before="480" w:after="480" w:line="240" w:lineRule="auto"/>
        <w:rPr>
          <w:rFonts w:ascii="Times New Roman" w:eastAsia="Times New Roman" w:hAnsi="Times New Roman" w:cs="Times New Roman"/>
          <w:sz w:val="24"/>
          <w:szCs w:val="24"/>
        </w:rPr>
      </w:pPr>
      <w:r w:rsidRPr="00F23FE4">
        <w:rPr>
          <w:rFonts w:ascii="Times New Roman" w:eastAsia="Times New Roman" w:hAnsi="Times New Roman" w:cs="Times New Roman"/>
          <w:sz w:val="24"/>
          <w:szCs w:val="24"/>
        </w:rPr>
        <w:pict>
          <v:rect id="_x0000_i1027" style="width:0;height:.75pt" o:hralign="center" o:hrstd="t" o:hr="t" fillcolor="#a0a0a0" stroked="f"/>
        </w:pict>
      </w:r>
    </w:p>
    <w:p w:rsidR="00F23FE4" w:rsidRPr="00F23FE4" w:rsidRDefault="00F23FE4" w:rsidP="00F23FE4">
      <w:pPr>
        <w:shd w:val="clear" w:color="auto" w:fill="FFFFFF"/>
        <w:spacing w:before="480" w:after="240" w:line="480" w:lineRule="atLeast"/>
        <w:outlineLvl w:val="1"/>
        <w:rPr>
          <w:rFonts w:ascii="Segoe UI" w:eastAsia="Times New Roman" w:hAnsi="Segoe UI" w:cs="Segoe UI"/>
          <w:b/>
          <w:bCs/>
          <w:color w:val="0F1115"/>
          <w:sz w:val="33"/>
          <w:szCs w:val="33"/>
        </w:rPr>
      </w:pPr>
      <w:r w:rsidRPr="00F23FE4">
        <w:rPr>
          <w:rFonts w:ascii="Segoe UI" w:eastAsia="Times New Roman" w:hAnsi="Segoe UI" w:cs="Segoe UI"/>
          <w:b/>
          <w:bCs/>
          <w:color w:val="0F1115"/>
          <w:sz w:val="33"/>
          <w:szCs w:val="33"/>
        </w:rPr>
        <w:t>Part 2: Gross Income vs. Net Income</w:t>
      </w:r>
    </w:p>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Gross Income</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t>Definition:</w:t>
      </w:r>
      <w:r w:rsidRPr="00F23FE4">
        <w:rPr>
          <w:rFonts w:ascii="Segoe UI" w:eastAsia="Times New Roman" w:hAnsi="Segoe UI" w:cs="Segoe UI"/>
          <w:color w:val="0F1115"/>
          <w:sz w:val="24"/>
          <w:szCs w:val="24"/>
        </w:rPr>
        <w:t> The total earnings before any deductions are made. This includes base salary, overtime pay, commissions, allowances, and bonuses.</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t>Formula:</w:t>
      </w:r>
      <w:r w:rsidRPr="00F23FE4">
        <w:rPr>
          <w:rFonts w:ascii="Segoe UI" w:eastAsia="Times New Roman" w:hAnsi="Segoe UI" w:cs="Segoe UI"/>
          <w:color w:val="0F1115"/>
          <w:sz w:val="24"/>
          <w:szCs w:val="24"/>
        </w:rPr>
        <w:t> Gross Income = Base Pay + Overtime + Commission + Allowances + Bonuses</w:t>
      </w:r>
    </w:p>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Net Income (Take-Home Pay)</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lastRenderedPageBreak/>
        <w:t>Definition:</w:t>
      </w:r>
      <w:r w:rsidRPr="00F23FE4">
        <w:rPr>
          <w:rFonts w:ascii="Segoe UI" w:eastAsia="Times New Roman" w:hAnsi="Segoe UI" w:cs="Segoe UI"/>
          <w:color w:val="0F1115"/>
          <w:sz w:val="24"/>
          <w:szCs w:val="24"/>
        </w:rPr>
        <w:t> The amount left after all deductions are subtracted from gross income. This is the actual amount received on payday.</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t>Formula:</w:t>
      </w:r>
      <w:r w:rsidRPr="00F23FE4">
        <w:rPr>
          <w:rFonts w:ascii="Segoe UI" w:eastAsia="Times New Roman" w:hAnsi="Segoe UI" w:cs="Segoe UI"/>
          <w:color w:val="0F1115"/>
          <w:sz w:val="24"/>
          <w:szCs w:val="24"/>
        </w:rPr>
        <w:t> Net Income = Gross Income – Total Deductions</w:t>
      </w:r>
    </w:p>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Key Insight</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color w:val="0F1115"/>
          <w:sz w:val="24"/>
          <w:szCs w:val="24"/>
        </w:rPr>
        <w:t>The amount stated in an employment contract is often the gross salary — not the amount the employee actually receives. Understanding the difference between gross and net income helps workers plan their budgets realistically and avoid financial surprises.</w:t>
      </w:r>
    </w:p>
    <w:p w:rsidR="00F23FE4" w:rsidRPr="00F23FE4" w:rsidRDefault="00F23FE4" w:rsidP="00F23FE4">
      <w:pPr>
        <w:spacing w:before="480" w:after="480" w:line="240" w:lineRule="auto"/>
        <w:rPr>
          <w:rFonts w:ascii="Times New Roman" w:eastAsia="Times New Roman" w:hAnsi="Times New Roman" w:cs="Times New Roman"/>
          <w:sz w:val="24"/>
          <w:szCs w:val="24"/>
        </w:rPr>
      </w:pPr>
      <w:r w:rsidRPr="00F23FE4">
        <w:rPr>
          <w:rFonts w:ascii="Times New Roman" w:eastAsia="Times New Roman" w:hAnsi="Times New Roman" w:cs="Times New Roman"/>
          <w:sz w:val="24"/>
          <w:szCs w:val="24"/>
        </w:rPr>
        <w:pict>
          <v:rect id="_x0000_i1028" style="width:0;height:.75pt" o:hralign="center" o:hrstd="t" o:hr="t" fillcolor="#a0a0a0" stroked="f"/>
        </w:pict>
      </w:r>
    </w:p>
    <w:p w:rsidR="00F23FE4" w:rsidRPr="00F23FE4" w:rsidRDefault="00F23FE4" w:rsidP="00F23FE4">
      <w:pPr>
        <w:shd w:val="clear" w:color="auto" w:fill="FFFFFF"/>
        <w:spacing w:before="480" w:after="240" w:line="480" w:lineRule="atLeast"/>
        <w:outlineLvl w:val="1"/>
        <w:rPr>
          <w:rFonts w:ascii="Segoe UI" w:eastAsia="Times New Roman" w:hAnsi="Segoe UI" w:cs="Segoe UI"/>
          <w:b/>
          <w:bCs/>
          <w:color w:val="0F1115"/>
          <w:sz w:val="33"/>
          <w:szCs w:val="33"/>
        </w:rPr>
      </w:pPr>
      <w:r w:rsidRPr="00F23FE4">
        <w:rPr>
          <w:rFonts w:ascii="Segoe UI" w:eastAsia="Times New Roman" w:hAnsi="Segoe UI" w:cs="Segoe UI"/>
          <w:b/>
          <w:bCs/>
          <w:color w:val="0F1115"/>
          <w:sz w:val="33"/>
          <w:szCs w:val="33"/>
        </w:rPr>
        <w:t>Part 3: Mandatory Government Deductions in the Philippines</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color w:val="0F1115"/>
          <w:sz w:val="24"/>
          <w:szCs w:val="24"/>
        </w:rPr>
        <w:t>In the Philippines, employers are required by law to deduct certain contributions from employees' salaries. These deductions fund social security, healthcare, and housing programs.</w:t>
      </w:r>
    </w:p>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Social Security System (SSS)</w:t>
      </w:r>
    </w:p>
    <w:tbl>
      <w:tblPr>
        <w:tblW w:w="11280" w:type="dxa"/>
        <w:tblCellMar>
          <w:top w:w="15" w:type="dxa"/>
          <w:left w:w="15" w:type="dxa"/>
          <w:bottom w:w="15" w:type="dxa"/>
          <w:right w:w="15" w:type="dxa"/>
        </w:tblCellMar>
        <w:tblLook w:val="04A0" w:firstRow="1" w:lastRow="0" w:firstColumn="1" w:lastColumn="0" w:noHBand="0" w:noVBand="1"/>
      </w:tblPr>
      <w:tblGrid>
        <w:gridCol w:w="3952"/>
        <w:gridCol w:w="7328"/>
      </w:tblGrid>
      <w:tr w:rsidR="00F23FE4" w:rsidRPr="00F23FE4" w:rsidTr="00F23FE4">
        <w:trPr>
          <w:tblHeader/>
        </w:trPr>
        <w:tc>
          <w:tcPr>
            <w:tcW w:w="0" w:type="auto"/>
            <w:tcBorders>
              <w:top w:val="nil"/>
            </w:tcBorders>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Detail</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Applicable to</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Private sector employees</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Purpose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Retirement, disability, maternity, sickness, and death benefits</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Employee Share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Approximately 5% of monthly salary (subject to contribution table)</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Maximum Monthly Contribution</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Varies based on salary bracket</w:t>
            </w:r>
          </w:p>
        </w:tc>
      </w:tr>
    </w:tbl>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Government Service Insurance System (GSIS)</w:t>
      </w:r>
    </w:p>
    <w:tbl>
      <w:tblPr>
        <w:tblW w:w="11280" w:type="dxa"/>
        <w:tblCellMar>
          <w:top w:w="15" w:type="dxa"/>
          <w:left w:w="15" w:type="dxa"/>
          <w:bottom w:w="15" w:type="dxa"/>
          <w:right w:w="15" w:type="dxa"/>
        </w:tblCellMar>
        <w:tblLook w:val="04A0" w:firstRow="1" w:lastRow="0" w:firstColumn="1" w:lastColumn="0" w:noHBand="0" w:noVBand="1"/>
      </w:tblPr>
      <w:tblGrid>
        <w:gridCol w:w="2632"/>
        <w:gridCol w:w="8648"/>
      </w:tblGrid>
      <w:tr w:rsidR="00F23FE4" w:rsidRPr="00F23FE4" w:rsidTr="00F23FE4">
        <w:trPr>
          <w:tblHeader/>
        </w:trPr>
        <w:tc>
          <w:tcPr>
            <w:tcW w:w="0" w:type="auto"/>
            <w:tcBorders>
              <w:top w:val="nil"/>
            </w:tcBorders>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lastRenderedPageBreak/>
              <w:t>Feature</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Detail</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Applicable to</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Government employees only</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Purpose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Life insurance, retirement, disability, and survivorship benefits</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Employee Share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9% of monthly salary</w:t>
            </w:r>
          </w:p>
        </w:tc>
      </w:tr>
    </w:tbl>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PhilHealth</w:t>
      </w:r>
    </w:p>
    <w:tbl>
      <w:tblPr>
        <w:tblW w:w="11280" w:type="dxa"/>
        <w:tblCellMar>
          <w:top w:w="15" w:type="dxa"/>
          <w:left w:w="15" w:type="dxa"/>
          <w:bottom w:w="15" w:type="dxa"/>
          <w:right w:w="15" w:type="dxa"/>
        </w:tblCellMar>
        <w:tblLook w:val="04A0" w:firstRow="1" w:lastRow="0" w:firstColumn="1" w:lastColumn="0" w:noHBand="0" w:noVBand="1"/>
      </w:tblPr>
      <w:tblGrid>
        <w:gridCol w:w="2108"/>
        <w:gridCol w:w="9172"/>
      </w:tblGrid>
      <w:tr w:rsidR="00F23FE4" w:rsidRPr="00F23FE4" w:rsidTr="00F23FE4">
        <w:trPr>
          <w:tblHeader/>
        </w:trPr>
        <w:tc>
          <w:tcPr>
            <w:tcW w:w="0" w:type="auto"/>
            <w:tcBorders>
              <w:top w:val="nil"/>
            </w:tcBorders>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Detail</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Applicable to</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All employees</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Purpose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Healthcare benefits and hospitalization coverage</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Employee Share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2.5% of monthly salary (the total 5% is shared equally by employee and employer)</w:t>
            </w:r>
          </w:p>
        </w:tc>
      </w:tr>
    </w:tbl>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Pag-IBIG Fund (HDMF)</w:t>
      </w:r>
    </w:p>
    <w:tbl>
      <w:tblPr>
        <w:tblW w:w="11280" w:type="dxa"/>
        <w:tblCellMar>
          <w:top w:w="15" w:type="dxa"/>
          <w:left w:w="15" w:type="dxa"/>
          <w:bottom w:w="15" w:type="dxa"/>
          <w:right w:w="15" w:type="dxa"/>
        </w:tblCellMar>
        <w:tblLook w:val="04A0" w:firstRow="1" w:lastRow="0" w:firstColumn="1" w:lastColumn="0" w:noHBand="0" w:noVBand="1"/>
      </w:tblPr>
      <w:tblGrid>
        <w:gridCol w:w="2659"/>
        <w:gridCol w:w="8621"/>
      </w:tblGrid>
      <w:tr w:rsidR="00F23FE4" w:rsidRPr="00F23FE4" w:rsidTr="00F23FE4">
        <w:trPr>
          <w:tblHeader/>
        </w:trPr>
        <w:tc>
          <w:tcPr>
            <w:tcW w:w="0" w:type="auto"/>
            <w:tcBorders>
              <w:top w:val="nil"/>
            </w:tcBorders>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Detail</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Applicable to</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All employees</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Purpose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Housing loans, savings, and calamity loans</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Employee Share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2% of monthly salary (capped at ₱200 for some salary levels)</w:t>
            </w:r>
          </w:p>
        </w:tc>
      </w:tr>
    </w:tbl>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Withholding Tax (BIR)</w:t>
      </w:r>
    </w:p>
    <w:tbl>
      <w:tblPr>
        <w:tblW w:w="11280" w:type="dxa"/>
        <w:tblCellMar>
          <w:top w:w="15" w:type="dxa"/>
          <w:left w:w="15" w:type="dxa"/>
          <w:bottom w:w="15" w:type="dxa"/>
          <w:right w:w="15" w:type="dxa"/>
        </w:tblCellMar>
        <w:tblLook w:val="04A0" w:firstRow="1" w:lastRow="0" w:firstColumn="1" w:lastColumn="0" w:noHBand="0" w:noVBand="1"/>
      </w:tblPr>
      <w:tblGrid>
        <w:gridCol w:w="2572"/>
        <w:gridCol w:w="8708"/>
      </w:tblGrid>
      <w:tr w:rsidR="00F23FE4" w:rsidRPr="00F23FE4" w:rsidTr="00F23FE4">
        <w:trPr>
          <w:tblHeader/>
        </w:trPr>
        <w:tc>
          <w:tcPr>
            <w:tcW w:w="0" w:type="auto"/>
            <w:tcBorders>
              <w:top w:val="nil"/>
            </w:tcBorders>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Detail</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Applicable to</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All employees earning above the tax threshold</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lastRenderedPageBreak/>
              <w:t>Purpose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Income tax collected in advance by the employer</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Rate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Based on monthly salary bracket under the TRAIN law</w:t>
            </w:r>
          </w:p>
        </w:tc>
      </w:tr>
    </w:tbl>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Other Deductions (Optional)</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color w:val="0F1115"/>
          <w:sz w:val="24"/>
          <w:szCs w:val="24"/>
        </w:rPr>
        <w:t>These deductions depend on agreements between the employee and employer:</w:t>
      </w:r>
    </w:p>
    <w:p w:rsidR="00F23FE4" w:rsidRPr="00F23FE4" w:rsidRDefault="00F23FE4" w:rsidP="00F23FE4">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F23FE4">
        <w:rPr>
          <w:rFonts w:ascii="Segoe UI" w:eastAsia="Times New Roman" w:hAnsi="Segoe UI" w:cs="Segoe UI"/>
          <w:color w:val="0F1115"/>
          <w:sz w:val="24"/>
          <w:szCs w:val="24"/>
        </w:rPr>
        <w:t>Salary loans</w:t>
      </w:r>
    </w:p>
    <w:p w:rsidR="00F23FE4" w:rsidRPr="00F23FE4" w:rsidRDefault="00F23FE4" w:rsidP="00F23FE4">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F23FE4">
        <w:rPr>
          <w:rFonts w:ascii="Segoe UI" w:eastAsia="Times New Roman" w:hAnsi="Segoe UI" w:cs="Segoe UI"/>
          <w:color w:val="0F1115"/>
          <w:sz w:val="24"/>
          <w:szCs w:val="24"/>
        </w:rPr>
        <w:t>Cash advances</w:t>
      </w:r>
    </w:p>
    <w:p w:rsidR="00F23FE4" w:rsidRPr="00F23FE4" w:rsidRDefault="00F23FE4" w:rsidP="00F23FE4">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F23FE4">
        <w:rPr>
          <w:rFonts w:ascii="Segoe UI" w:eastAsia="Times New Roman" w:hAnsi="Segoe UI" w:cs="Segoe UI"/>
          <w:color w:val="0F1115"/>
          <w:sz w:val="24"/>
          <w:szCs w:val="24"/>
        </w:rPr>
        <w:t>Insurance premiums</w:t>
      </w:r>
    </w:p>
    <w:p w:rsidR="00F23FE4" w:rsidRPr="00F23FE4" w:rsidRDefault="00F23FE4" w:rsidP="00F23FE4">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F23FE4">
        <w:rPr>
          <w:rFonts w:ascii="Segoe UI" w:eastAsia="Times New Roman" w:hAnsi="Segoe UI" w:cs="Segoe UI"/>
          <w:color w:val="0F1115"/>
          <w:sz w:val="24"/>
          <w:szCs w:val="24"/>
        </w:rPr>
        <w:t>Union dues</w:t>
      </w:r>
    </w:p>
    <w:p w:rsidR="00F23FE4" w:rsidRPr="00F23FE4" w:rsidRDefault="00F23FE4" w:rsidP="00F23FE4">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F23FE4">
        <w:rPr>
          <w:rFonts w:ascii="Segoe UI" w:eastAsia="Times New Roman" w:hAnsi="Segoe UI" w:cs="Segoe UI"/>
          <w:color w:val="0F1115"/>
          <w:sz w:val="24"/>
          <w:szCs w:val="24"/>
        </w:rPr>
        <w:t>Deductions for absences or tardiness</w:t>
      </w:r>
    </w:p>
    <w:p w:rsidR="00F23FE4" w:rsidRPr="00F23FE4" w:rsidRDefault="00F23FE4" w:rsidP="00F23FE4">
      <w:pPr>
        <w:spacing w:before="480" w:after="480" w:line="240" w:lineRule="auto"/>
        <w:rPr>
          <w:rFonts w:ascii="Times New Roman" w:eastAsia="Times New Roman" w:hAnsi="Times New Roman" w:cs="Times New Roman"/>
          <w:sz w:val="24"/>
          <w:szCs w:val="24"/>
        </w:rPr>
      </w:pPr>
      <w:r w:rsidRPr="00F23FE4">
        <w:rPr>
          <w:rFonts w:ascii="Times New Roman" w:eastAsia="Times New Roman" w:hAnsi="Times New Roman" w:cs="Times New Roman"/>
          <w:sz w:val="24"/>
          <w:szCs w:val="24"/>
        </w:rPr>
        <w:pict>
          <v:rect id="_x0000_i1029" style="width:0;height:.75pt" o:hralign="center" o:hrstd="t" o:hr="t" fillcolor="#a0a0a0" stroked="f"/>
        </w:pict>
      </w:r>
    </w:p>
    <w:p w:rsidR="00F23FE4" w:rsidRPr="00F23FE4" w:rsidRDefault="00F23FE4" w:rsidP="00F23FE4">
      <w:pPr>
        <w:shd w:val="clear" w:color="auto" w:fill="FFFFFF"/>
        <w:spacing w:before="480" w:after="240" w:line="480" w:lineRule="atLeast"/>
        <w:outlineLvl w:val="1"/>
        <w:rPr>
          <w:rFonts w:ascii="Segoe UI" w:eastAsia="Times New Roman" w:hAnsi="Segoe UI" w:cs="Segoe UI"/>
          <w:b/>
          <w:bCs/>
          <w:color w:val="0F1115"/>
          <w:sz w:val="33"/>
          <w:szCs w:val="33"/>
        </w:rPr>
      </w:pPr>
      <w:r w:rsidRPr="00F23FE4">
        <w:rPr>
          <w:rFonts w:ascii="Segoe UI" w:eastAsia="Times New Roman" w:hAnsi="Segoe UI" w:cs="Segoe UI"/>
          <w:b/>
          <w:bCs/>
          <w:color w:val="0F1115"/>
          <w:sz w:val="33"/>
          <w:szCs w:val="33"/>
        </w:rPr>
        <w:t>Part 4: Computing Net Income — Step-by-Step Examples</w:t>
      </w:r>
    </w:p>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Example 1: Daily Wage Earner</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t>Scenario:</w:t>
      </w:r>
      <w:r w:rsidRPr="00F23FE4">
        <w:rPr>
          <w:rFonts w:ascii="Segoe UI" w:eastAsia="Times New Roman" w:hAnsi="Segoe UI" w:cs="Segoe UI"/>
          <w:color w:val="0F1115"/>
          <w:sz w:val="24"/>
          <w:szCs w:val="24"/>
        </w:rPr>
        <w:t> Anna works in a factory earning ₱550 per day. She worked 22 days this month.</w:t>
      </w:r>
    </w:p>
    <w:tbl>
      <w:tblPr>
        <w:tblW w:w="11280" w:type="dxa"/>
        <w:tblCellMar>
          <w:top w:w="15" w:type="dxa"/>
          <w:left w:w="15" w:type="dxa"/>
          <w:bottom w:w="15" w:type="dxa"/>
          <w:right w:w="15" w:type="dxa"/>
        </w:tblCellMar>
        <w:tblLook w:val="04A0" w:firstRow="1" w:lastRow="0" w:firstColumn="1" w:lastColumn="0" w:noHBand="0" w:noVBand="1"/>
      </w:tblPr>
      <w:tblGrid>
        <w:gridCol w:w="3707"/>
        <w:gridCol w:w="5711"/>
        <w:gridCol w:w="1862"/>
      </w:tblGrid>
      <w:tr w:rsidR="00F23FE4" w:rsidRPr="00F23FE4" w:rsidTr="00F23FE4">
        <w:trPr>
          <w:tblHeader/>
        </w:trPr>
        <w:tc>
          <w:tcPr>
            <w:tcW w:w="0" w:type="auto"/>
            <w:tcBorders>
              <w:top w:val="nil"/>
            </w:tcBorders>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Computation</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Amount</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Gross Income</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₱550 × 22 days</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₱12,100.00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SSS (5%)</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₱12,100 × 5%</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₱605.00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PhilHealth (2.5%)</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₱12,100 × 2.5%</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₱302.50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Pag-IBIG (2%, capped)</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₱12,100 × 2% (capped at ₱200)</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₱200.00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lastRenderedPageBreak/>
              <w:t>Withholding Tax</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Exempted (below taxable threshold)</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Total Deductions</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Sum of deductions</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₱1,107.50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Net Income</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Gross Income – Deductions</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₱10,992.50</w:t>
            </w:r>
          </w:p>
        </w:tc>
      </w:tr>
    </w:tbl>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Example 2: Hourly Wage with Overtime</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t>Scenario:</w:t>
      </w:r>
      <w:r w:rsidRPr="00F23FE4">
        <w:rPr>
          <w:rFonts w:ascii="Segoe UI" w:eastAsia="Times New Roman" w:hAnsi="Segoe UI" w:cs="Segoe UI"/>
          <w:color w:val="0F1115"/>
          <w:sz w:val="24"/>
          <w:szCs w:val="24"/>
        </w:rPr>
        <w:t> James earns ₱75 per hour. He worked 160 regular hours and 10 overtime hours (paid at 125% of regular rate).</w:t>
      </w:r>
    </w:p>
    <w:tbl>
      <w:tblPr>
        <w:tblW w:w="11280" w:type="dxa"/>
        <w:tblCellMar>
          <w:top w:w="15" w:type="dxa"/>
          <w:left w:w="15" w:type="dxa"/>
          <w:bottom w:w="15" w:type="dxa"/>
          <w:right w:w="15" w:type="dxa"/>
        </w:tblCellMar>
        <w:tblLook w:val="04A0" w:firstRow="1" w:lastRow="0" w:firstColumn="1" w:lastColumn="0" w:noHBand="0" w:noVBand="1"/>
      </w:tblPr>
      <w:tblGrid>
        <w:gridCol w:w="3537"/>
        <w:gridCol w:w="5511"/>
        <w:gridCol w:w="2232"/>
      </w:tblGrid>
      <w:tr w:rsidR="00F23FE4" w:rsidRPr="00F23FE4" w:rsidTr="00F23FE4">
        <w:trPr>
          <w:tblHeader/>
        </w:trPr>
        <w:tc>
          <w:tcPr>
            <w:tcW w:w="0" w:type="auto"/>
            <w:tcBorders>
              <w:top w:val="nil"/>
            </w:tcBorders>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Computation</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Amount</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Regular Pay</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160 hours × ₱75</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₱12,000.00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Overtime Pay</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10 hours × (₱75 × 1.25)</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₱937.50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Gross Income</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Regular Pay + Overtime Pay</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₱12,937.50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SSS (5%)</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₱12,000 × 5%</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₱600.00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PhilHealth (2.5%)</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₱12,000 × 2.5%</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₱300.00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Pag-IBIG (2%)</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₱12,000 × 2% (capped)</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₱200.00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Withholding Tax</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Exempted</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Total Deductions</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Sum of deductions</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₱1,100.00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Net Income</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Gross Income – Deductions</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₱11,837.50</w:t>
            </w:r>
          </w:p>
        </w:tc>
      </w:tr>
    </w:tbl>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Example 3: Base Salary with Commission</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lastRenderedPageBreak/>
        <w:t>Scenario:</w:t>
      </w:r>
      <w:r w:rsidRPr="00F23FE4">
        <w:rPr>
          <w:rFonts w:ascii="Segoe UI" w:eastAsia="Times New Roman" w:hAnsi="Segoe UI" w:cs="Segoe UI"/>
          <w:color w:val="0F1115"/>
          <w:sz w:val="24"/>
          <w:szCs w:val="24"/>
        </w:rPr>
        <w:t> Ariel earns a base salary of ₱10,000 plus 10% commission on ₱80,000 in sales.</w:t>
      </w:r>
    </w:p>
    <w:tbl>
      <w:tblPr>
        <w:tblW w:w="11280" w:type="dxa"/>
        <w:tblCellMar>
          <w:top w:w="15" w:type="dxa"/>
          <w:left w:w="15" w:type="dxa"/>
          <w:bottom w:w="15" w:type="dxa"/>
          <w:right w:w="15" w:type="dxa"/>
        </w:tblCellMar>
        <w:tblLook w:val="04A0" w:firstRow="1" w:lastRow="0" w:firstColumn="1" w:lastColumn="0" w:noHBand="0" w:noVBand="1"/>
      </w:tblPr>
      <w:tblGrid>
        <w:gridCol w:w="3570"/>
        <w:gridCol w:w="5457"/>
        <w:gridCol w:w="2253"/>
      </w:tblGrid>
      <w:tr w:rsidR="00F23FE4" w:rsidRPr="00F23FE4" w:rsidTr="00F23FE4">
        <w:trPr>
          <w:tblHeader/>
        </w:trPr>
        <w:tc>
          <w:tcPr>
            <w:tcW w:w="0" w:type="auto"/>
            <w:tcBorders>
              <w:top w:val="nil"/>
            </w:tcBorders>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Computation</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Amount</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Base Salary</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Given</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₱10,000.00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Commission</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₱80,000 × 10%</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₱8,000.00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Gross Income</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Base Salary + Commission</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₱18,000.00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SSS (5%)</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₱18,000 × 5%</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₱900.00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PhilHealth (2.5%)</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₱18,000 × 2.5%</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₱450.00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Pag-IBIG (2%)</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₱18,000 × 2% (capped)</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₱200.00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Withholding Tax</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Exempted</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Total Deductions</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Sum of deductions</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₱1,550.00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Net Income</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Gross Income – Deductions</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₱16,450.00</w:t>
            </w:r>
          </w:p>
        </w:tc>
      </w:tr>
    </w:tbl>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Example 4: Government Employee with GSIS and Loan</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t>Scenario:</w:t>
      </w:r>
      <w:r w:rsidRPr="00F23FE4">
        <w:rPr>
          <w:rFonts w:ascii="Segoe UI" w:eastAsia="Times New Roman" w:hAnsi="Segoe UI" w:cs="Segoe UI"/>
          <w:color w:val="0F1115"/>
          <w:sz w:val="24"/>
          <w:szCs w:val="24"/>
        </w:rPr>
        <w:t> Carla is a government employee with a monthly salary of ₱38,150, a ₱2,000 non-taxable allowance, and a ₱4,000 monthly GSIS loan.</w:t>
      </w:r>
    </w:p>
    <w:tbl>
      <w:tblPr>
        <w:tblW w:w="11280" w:type="dxa"/>
        <w:tblCellMar>
          <w:top w:w="15" w:type="dxa"/>
          <w:left w:w="15" w:type="dxa"/>
          <w:bottom w:w="15" w:type="dxa"/>
          <w:right w:w="15" w:type="dxa"/>
        </w:tblCellMar>
        <w:tblLook w:val="04A0" w:firstRow="1" w:lastRow="0" w:firstColumn="1" w:lastColumn="0" w:noHBand="0" w:noVBand="1"/>
      </w:tblPr>
      <w:tblGrid>
        <w:gridCol w:w="3570"/>
        <w:gridCol w:w="5457"/>
        <w:gridCol w:w="2253"/>
      </w:tblGrid>
      <w:tr w:rsidR="00F23FE4" w:rsidRPr="00F23FE4" w:rsidTr="00F23FE4">
        <w:trPr>
          <w:tblHeader/>
        </w:trPr>
        <w:tc>
          <w:tcPr>
            <w:tcW w:w="0" w:type="auto"/>
            <w:tcBorders>
              <w:top w:val="nil"/>
            </w:tcBorders>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Computation</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Amount</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Regular Salary</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Given</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₱38,150.00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Allowance</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Given (non-taxable)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₱2,000.00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Gross Income</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Salary + Allowance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₱40,150.00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GSIS (9%)</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₱38,150 × 9%</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₱3,433.50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lastRenderedPageBreak/>
              <w:t>PhilHealth (2.5%)</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₱38,150 × 2.5%</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₱953.75</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Pag-IBIG (2%)</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₱38,150 × 2% (capped)</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₱200.00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GSIS Loan</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Given</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₱4,000.00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Withholding Tax</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₱38,150 × 4% (estimated)</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₱1,526.00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Total Deductions</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Sum of deductions</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₱10,113.25</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Net Income</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Gross Income – Deductions</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₱30,036.75</w:t>
            </w:r>
          </w:p>
        </w:tc>
      </w:tr>
    </w:tbl>
    <w:p w:rsidR="00F23FE4" w:rsidRPr="00F23FE4" w:rsidRDefault="00F23FE4" w:rsidP="00F23FE4">
      <w:pPr>
        <w:spacing w:before="480" w:after="480" w:line="240" w:lineRule="auto"/>
        <w:rPr>
          <w:rFonts w:ascii="Times New Roman" w:eastAsia="Times New Roman" w:hAnsi="Times New Roman" w:cs="Times New Roman"/>
          <w:sz w:val="24"/>
          <w:szCs w:val="24"/>
        </w:rPr>
      </w:pPr>
      <w:r w:rsidRPr="00F23FE4">
        <w:rPr>
          <w:rFonts w:ascii="Times New Roman" w:eastAsia="Times New Roman" w:hAnsi="Times New Roman" w:cs="Times New Roman"/>
          <w:sz w:val="24"/>
          <w:szCs w:val="24"/>
        </w:rPr>
        <w:pict>
          <v:rect id="_x0000_i1030" style="width:0;height:.75pt" o:hralign="center" o:hrstd="t" o:hr="t" fillcolor="#a0a0a0" stroked="f"/>
        </w:pict>
      </w:r>
    </w:p>
    <w:p w:rsidR="00F23FE4" w:rsidRPr="00F23FE4" w:rsidRDefault="00F23FE4" w:rsidP="00F23FE4">
      <w:pPr>
        <w:shd w:val="clear" w:color="auto" w:fill="FFFFFF"/>
        <w:spacing w:before="480" w:after="240" w:line="480" w:lineRule="atLeast"/>
        <w:outlineLvl w:val="1"/>
        <w:rPr>
          <w:rFonts w:ascii="Segoe UI" w:eastAsia="Times New Roman" w:hAnsi="Segoe UI" w:cs="Segoe UI"/>
          <w:b/>
          <w:bCs/>
          <w:color w:val="0F1115"/>
          <w:sz w:val="33"/>
          <w:szCs w:val="33"/>
        </w:rPr>
      </w:pPr>
      <w:r w:rsidRPr="00F23FE4">
        <w:rPr>
          <w:rFonts w:ascii="Segoe UI" w:eastAsia="Times New Roman" w:hAnsi="Segoe UI" w:cs="Segoe UI"/>
          <w:b/>
          <w:bCs/>
          <w:color w:val="0F1115"/>
          <w:sz w:val="33"/>
          <w:szCs w:val="33"/>
        </w:rPr>
        <w:t>Part 5: Understanding a Payslip</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color w:val="0F1115"/>
          <w:sz w:val="24"/>
          <w:szCs w:val="24"/>
        </w:rPr>
        <w:t>A payslip (or pay stub) is a document that shows an employee's earnings and deductions for a specific pay period.</w:t>
      </w:r>
    </w:p>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Key Components of a Payslip</w:t>
      </w:r>
    </w:p>
    <w:tbl>
      <w:tblPr>
        <w:tblW w:w="11280" w:type="dxa"/>
        <w:tblCellMar>
          <w:top w:w="15" w:type="dxa"/>
          <w:left w:w="15" w:type="dxa"/>
          <w:bottom w:w="15" w:type="dxa"/>
          <w:right w:w="15" w:type="dxa"/>
        </w:tblCellMar>
        <w:tblLook w:val="04A0" w:firstRow="1" w:lastRow="0" w:firstColumn="1" w:lastColumn="0" w:noHBand="0" w:noVBand="1"/>
      </w:tblPr>
      <w:tblGrid>
        <w:gridCol w:w="2730"/>
        <w:gridCol w:w="8550"/>
      </w:tblGrid>
      <w:tr w:rsidR="00F23FE4" w:rsidRPr="00F23FE4" w:rsidTr="00F23FE4">
        <w:trPr>
          <w:tblHeader/>
        </w:trPr>
        <w:tc>
          <w:tcPr>
            <w:tcW w:w="0" w:type="auto"/>
            <w:tcBorders>
              <w:top w:val="nil"/>
            </w:tcBorders>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Description</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Employee Information</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Name, employee number, position</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Pay Period</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The dates covered by the payslip</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Gross Income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Total earnings before deductions (base pay, overtime, allowances, commissions)</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Deductions</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Amounts subtracted from gross pay (SSS, PhilHealth, Pag-IBIG, tax, loans)</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Net Income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Take-home pay — the amount actually received</w:t>
            </w:r>
          </w:p>
        </w:tc>
      </w:tr>
    </w:tbl>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lastRenderedPageBreak/>
        <w:t>Sample Payslip</w:t>
      </w:r>
    </w:p>
    <w:tbl>
      <w:tblPr>
        <w:tblW w:w="11280" w:type="dxa"/>
        <w:tblCellMar>
          <w:top w:w="15" w:type="dxa"/>
          <w:left w:w="15" w:type="dxa"/>
          <w:bottom w:w="15" w:type="dxa"/>
          <w:right w:w="15" w:type="dxa"/>
        </w:tblCellMar>
        <w:tblLook w:val="04A0" w:firstRow="1" w:lastRow="0" w:firstColumn="1" w:lastColumn="0" w:noHBand="0" w:noVBand="1"/>
      </w:tblPr>
      <w:tblGrid>
        <w:gridCol w:w="6161"/>
        <w:gridCol w:w="5119"/>
      </w:tblGrid>
      <w:tr w:rsidR="00F23FE4" w:rsidRPr="00F23FE4" w:rsidTr="00F23FE4">
        <w:trPr>
          <w:tblHeader/>
        </w:trPr>
        <w:tc>
          <w:tcPr>
            <w:tcW w:w="0" w:type="auto"/>
            <w:tcBorders>
              <w:top w:val="nil"/>
            </w:tcBorders>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Amount (₱)</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Gross Income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20,000.00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Less Deductions</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Withholding Tax</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1,500.00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SSS Contribution</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800.00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PhilHealth</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300.00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Pag-IBIG</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200.00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Net Income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17,200.00</w:t>
            </w:r>
          </w:p>
        </w:tc>
      </w:tr>
    </w:tbl>
    <w:p w:rsidR="00F23FE4" w:rsidRPr="00F23FE4" w:rsidRDefault="00F23FE4" w:rsidP="00F23FE4">
      <w:pPr>
        <w:spacing w:before="480" w:after="480" w:line="240" w:lineRule="auto"/>
        <w:rPr>
          <w:rFonts w:ascii="Times New Roman" w:eastAsia="Times New Roman" w:hAnsi="Times New Roman" w:cs="Times New Roman"/>
          <w:sz w:val="24"/>
          <w:szCs w:val="24"/>
        </w:rPr>
      </w:pPr>
      <w:r w:rsidRPr="00F23FE4">
        <w:rPr>
          <w:rFonts w:ascii="Times New Roman" w:eastAsia="Times New Roman" w:hAnsi="Times New Roman" w:cs="Times New Roman"/>
          <w:sz w:val="24"/>
          <w:szCs w:val="24"/>
        </w:rPr>
        <w:pict>
          <v:rect id="_x0000_i1031" style="width:0;height:.75pt" o:hralign="center" o:hrstd="t" o:hr="t" fillcolor="#a0a0a0" stroked="f"/>
        </w:pict>
      </w:r>
    </w:p>
    <w:p w:rsidR="00F23FE4" w:rsidRPr="00F23FE4" w:rsidRDefault="00F23FE4" w:rsidP="00F23FE4">
      <w:pPr>
        <w:shd w:val="clear" w:color="auto" w:fill="FFFFFF"/>
        <w:spacing w:before="480" w:after="240" w:line="480" w:lineRule="atLeast"/>
        <w:outlineLvl w:val="1"/>
        <w:rPr>
          <w:rFonts w:ascii="Segoe UI" w:eastAsia="Times New Roman" w:hAnsi="Segoe UI" w:cs="Segoe UI"/>
          <w:b/>
          <w:bCs/>
          <w:color w:val="0F1115"/>
          <w:sz w:val="33"/>
          <w:szCs w:val="33"/>
        </w:rPr>
      </w:pPr>
      <w:r w:rsidRPr="00F23FE4">
        <w:rPr>
          <w:rFonts w:ascii="Segoe UI" w:eastAsia="Times New Roman" w:hAnsi="Segoe UI" w:cs="Segoe UI"/>
          <w:b/>
          <w:bCs/>
          <w:color w:val="0F1115"/>
          <w:sz w:val="33"/>
          <w:szCs w:val="33"/>
        </w:rPr>
        <w:t>Part 6: Using Spreadsheets for Payroll Computation</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color w:val="0F1115"/>
          <w:sz w:val="24"/>
          <w:szCs w:val="24"/>
        </w:rPr>
        <w:t>Spreadsheets (Microsoft Excel or Google Sheets) are powerful tools for computing salaries, wages, and commissions. They allow users to create formulas that automatically calculate values, reducing errors and saving time.</w:t>
      </w:r>
    </w:p>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Basic Spreadsheet Formulas</w:t>
      </w:r>
    </w:p>
    <w:tbl>
      <w:tblPr>
        <w:tblW w:w="11280" w:type="dxa"/>
        <w:tblCellMar>
          <w:top w:w="15" w:type="dxa"/>
          <w:left w:w="15" w:type="dxa"/>
          <w:bottom w:w="15" w:type="dxa"/>
          <w:right w:w="15" w:type="dxa"/>
        </w:tblCellMar>
        <w:tblLook w:val="04A0" w:firstRow="1" w:lastRow="0" w:firstColumn="1" w:lastColumn="0" w:noHBand="0" w:noVBand="1"/>
      </w:tblPr>
      <w:tblGrid>
        <w:gridCol w:w="4316"/>
        <w:gridCol w:w="6964"/>
      </w:tblGrid>
      <w:tr w:rsidR="00F23FE4" w:rsidRPr="00F23FE4" w:rsidTr="00F23FE4">
        <w:trPr>
          <w:tblHeader/>
        </w:trPr>
        <w:tc>
          <w:tcPr>
            <w:tcW w:w="0" w:type="auto"/>
            <w:tcBorders>
              <w:top w:val="nil"/>
            </w:tcBorders>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Operation</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Formula in Excel/Sheets</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Multiplication</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Consolas" w:eastAsia="Times New Roman" w:hAnsi="Consolas" w:cs="Courier New"/>
                <w:sz w:val="20"/>
                <w:szCs w:val="20"/>
                <w:shd w:val="clear" w:color="auto" w:fill="EBEEF2"/>
              </w:rPr>
              <w:t>=A1*B1</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Division</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Consolas" w:eastAsia="Times New Roman" w:hAnsi="Consolas" w:cs="Courier New"/>
                <w:sz w:val="20"/>
                <w:szCs w:val="20"/>
                <w:shd w:val="clear" w:color="auto" w:fill="EBEEF2"/>
              </w:rPr>
              <w:t>=A1/B1</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Percentage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Consolas" w:eastAsia="Times New Roman" w:hAnsi="Consolas" w:cs="Courier New"/>
                <w:sz w:val="20"/>
                <w:szCs w:val="20"/>
                <w:shd w:val="clear" w:color="auto" w:fill="EBEEF2"/>
              </w:rPr>
              <w:t>=A1*0.05</w:t>
            </w:r>
            <w:r w:rsidRPr="00F23FE4">
              <w:rPr>
                <w:rFonts w:ascii="Segoe UI" w:eastAsia="Times New Roman" w:hAnsi="Segoe UI" w:cs="Segoe UI"/>
                <w:sz w:val="23"/>
                <w:szCs w:val="23"/>
              </w:rPr>
              <w:t> (for 5%)</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lastRenderedPageBreak/>
              <w:t>Sum of a range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Consolas" w:eastAsia="Times New Roman" w:hAnsi="Consolas" w:cs="Courier New"/>
                <w:sz w:val="20"/>
                <w:szCs w:val="20"/>
                <w:shd w:val="clear" w:color="auto" w:fill="EBEEF2"/>
              </w:rPr>
              <w:t>=SUM(A1:A10)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Subtraction</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Consolas" w:eastAsia="Times New Roman" w:hAnsi="Consolas" w:cs="Courier New"/>
                <w:sz w:val="20"/>
                <w:szCs w:val="20"/>
                <w:shd w:val="clear" w:color="auto" w:fill="EBEEF2"/>
              </w:rPr>
              <w:t>=A1-B1</w:t>
            </w:r>
          </w:p>
        </w:tc>
      </w:tr>
    </w:tbl>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Example: Computing Net Pay Using a Spreadsheet</w:t>
      </w:r>
    </w:p>
    <w:tbl>
      <w:tblPr>
        <w:tblW w:w="11280" w:type="dxa"/>
        <w:tblCellMar>
          <w:top w:w="15" w:type="dxa"/>
          <w:left w:w="15" w:type="dxa"/>
          <w:bottom w:w="15" w:type="dxa"/>
          <w:right w:w="15" w:type="dxa"/>
        </w:tblCellMar>
        <w:tblLook w:val="04A0" w:firstRow="1" w:lastRow="0" w:firstColumn="1" w:lastColumn="0" w:noHBand="0" w:noVBand="1"/>
      </w:tblPr>
      <w:tblGrid>
        <w:gridCol w:w="1031"/>
        <w:gridCol w:w="5792"/>
        <w:gridCol w:w="4457"/>
      </w:tblGrid>
      <w:tr w:rsidR="00F23FE4" w:rsidRPr="00F23FE4" w:rsidTr="00F23FE4">
        <w:trPr>
          <w:tblHeader/>
        </w:trPr>
        <w:tc>
          <w:tcPr>
            <w:tcW w:w="0" w:type="auto"/>
            <w:tcBorders>
              <w:top w:val="nil"/>
            </w:tcBorders>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A</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B</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C</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Item</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Amount (₱)</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Daily Rate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550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Days Worked</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22</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Gross Income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Consolas" w:eastAsia="Times New Roman" w:hAnsi="Consolas" w:cs="Courier New"/>
                <w:sz w:val="20"/>
                <w:szCs w:val="20"/>
                <w:shd w:val="clear" w:color="auto" w:fill="EBEEF2"/>
              </w:rPr>
              <w:t>=B2*B3</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SSS (5%)</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Consolas" w:eastAsia="Times New Roman" w:hAnsi="Consolas" w:cs="Courier New"/>
                <w:sz w:val="20"/>
                <w:szCs w:val="20"/>
                <w:shd w:val="clear" w:color="auto" w:fill="EBEEF2"/>
              </w:rPr>
              <w:t>=B4*0.05</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6</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PhilHealth (2.5%)</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Consolas" w:eastAsia="Times New Roman" w:hAnsi="Consolas" w:cs="Courier New"/>
                <w:sz w:val="20"/>
                <w:szCs w:val="20"/>
                <w:shd w:val="clear" w:color="auto" w:fill="EBEEF2"/>
              </w:rPr>
              <w:t>=B4*0.025</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7</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Pag-IBIG (2%, capped)</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Consolas" w:eastAsia="Times New Roman" w:hAnsi="Consolas" w:cs="Courier New"/>
                <w:sz w:val="20"/>
                <w:szCs w:val="20"/>
                <w:shd w:val="clear" w:color="auto" w:fill="EBEEF2"/>
              </w:rPr>
              <w:t>=MIN(B4*0.02,200)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8</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Withholding Tax</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9</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Total Deductions</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Consolas" w:eastAsia="Times New Roman" w:hAnsi="Consolas" w:cs="Courier New"/>
                <w:sz w:val="20"/>
                <w:szCs w:val="20"/>
                <w:shd w:val="clear" w:color="auto" w:fill="EBEEF2"/>
              </w:rPr>
              <w:t>=SUM(B5:B8)</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10</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Net Income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Consolas" w:eastAsia="Times New Roman" w:hAnsi="Consolas" w:cs="Courier New"/>
                <w:sz w:val="20"/>
                <w:szCs w:val="20"/>
                <w:shd w:val="clear" w:color="auto" w:fill="EBEEF2"/>
              </w:rPr>
              <w:t>=B4-B9</w:t>
            </w:r>
          </w:p>
        </w:tc>
      </w:tr>
    </w:tbl>
    <w:p w:rsidR="00F23FE4" w:rsidRPr="00F23FE4" w:rsidRDefault="00F23FE4" w:rsidP="00F23FE4">
      <w:pPr>
        <w:spacing w:before="480" w:after="480" w:line="240" w:lineRule="auto"/>
        <w:rPr>
          <w:rFonts w:ascii="Times New Roman" w:eastAsia="Times New Roman" w:hAnsi="Times New Roman" w:cs="Times New Roman"/>
          <w:sz w:val="24"/>
          <w:szCs w:val="24"/>
        </w:rPr>
      </w:pPr>
      <w:r w:rsidRPr="00F23FE4">
        <w:rPr>
          <w:rFonts w:ascii="Times New Roman" w:eastAsia="Times New Roman" w:hAnsi="Times New Roman" w:cs="Times New Roman"/>
          <w:sz w:val="24"/>
          <w:szCs w:val="24"/>
        </w:rPr>
        <w:pict>
          <v:rect id="_x0000_i1032" style="width:0;height:.75pt" o:hralign="center" o:hrstd="t" o:hr="t" fillcolor="#a0a0a0" stroked="f"/>
        </w:pict>
      </w:r>
    </w:p>
    <w:p w:rsidR="00F23FE4" w:rsidRPr="00F23FE4" w:rsidRDefault="00F23FE4" w:rsidP="00F23FE4">
      <w:pPr>
        <w:shd w:val="clear" w:color="auto" w:fill="FFFFFF"/>
        <w:spacing w:before="480" w:after="240" w:line="480" w:lineRule="atLeast"/>
        <w:outlineLvl w:val="1"/>
        <w:rPr>
          <w:rFonts w:ascii="Segoe UI" w:eastAsia="Times New Roman" w:hAnsi="Segoe UI" w:cs="Segoe UI"/>
          <w:b/>
          <w:bCs/>
          <w:color w:val="0F1115"/>
          <w:sz w:val="33"/>
          <w:szCs w:val="33"/>
        </w:rPr>
      </w:pPr>
      <w:r w:rsidRPr="00F23FE4">
        <w:rPr>
          <w:rFonts w:ascii="Segoe UI" w:eastAsia="Times New Roman" w:hAnsi="Segoe UI" w:cs="Segoe UI"/>
          <w:b/>
          <w:bCs/>
          <w:color w:val="0F1115"/>
          <w:sz w:val="33"/>
          <w:szCs w:val="33"/>
        </w:rPr>
        <w:t>Part 7: Comparing Job Offers — Which Is Better?</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color w:val="0F1115"/>
          <w:sz w:val="24"/>
          <w:szCs w:val="24"/>
        </w:rPr>
        <w:lastRenderedPageBreak/>
        <w:t>When evaluating job offers, it is important to compare not just the stated salary but the total compensation package, including allowances, bonuses, and benefits.</w:t>
      </w:r>
    </w:p>
    <w:p w:rsidR="00F23FE4" w:rsidRPr="00F23FE4" w:rsidRDefault="00F23FE4" w:rsidP="00F23FE4">
      <w:pPr>
        <w:shd w:val="clear" w:color="auto" w:fill="FFFFFF"/>
        <w:spacing w:before="480" w:after="240" w:line="450" w:lineRule="atLeast"/>
        <w:outlineLvl w:val="2"/>
        <w:rPr>
          <w:rFonts w:ascii="Segoe UI" w:eastAsia="Times New Roman" w:hAnsi="Segoe UI" w:cs="Segoe UI"/>
          <w:b/>
          <w:bCs/>
          <w:color w:val="0F1115"/>
          <w:sz w:val="30"/>
          <w:szCs w:val="30"/>
        </w:rPr>
      </w:pPr>
      <w:r w:rsidRPr="00F23FE4">
        <w:rPr>
          <w:rFonts w:ascii="Segoe UI" w:eastAsia="Times New Roman" w:hAnsi="Segoe UI" w:cs="Segoe UI"/>
          <w:b/>
          <w:bCs/>
          <w:color w:val="0F1115"/>
          <w:sz w:val="30"/>
          <w:szCs w:val="30"/>
        </w:rPr>
        <w:t>Example: Job Offer Comparison</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t>Job A:</w:t>
      </w:r>
      <w:r w:rsidRPr="00F23FE4">
        <w:rPr>
          <w:rFonts w:ascii="Segoe UI" w:eastAsia="Times New Roman" w:hAnsi="Segoe UI" w:cs="Segoe UI"/>
          <w:color w:val="0F1115"/>
          <w:sz w:val="24"/>
          <w:szCs w:val="24"/>
        </w:rPr>
        <w:t> ₱25,000 monthly salary + ₱3,000 allowance</w:t>
      </w:r>
      <w:r w:rsidRPr="00F23FE4">
        <w:rPr>
          <w:rFonts w:ascii="Segoe UI" w:eastAsia="Times New Roman" w:hAnsi="Segoe UI" w:cs="Segoe UI"/>
          <w:color w:val="0F1115"/>
          <w:sz w:val="24"/>
          <w:szCs w:val="24"/>
        </w:rPr>
        <w:br/>
      </w:r>
      <w:r w:rsidRPr="00F23FE4">
        <w:rPr>
          <w:rFonts w:ascii="Segoe UI" w:eastAsia="Times New Roman" w:hAnsi="Segoe UI" w:cs="Segoe UI"/>
          <w:b/>
          <w:bCs/>
          <w:color w:val="0F1115"/>
          <w:sz w:val="24"/>
          <w:szCs w:val="24"/>
        </w:rPr>
        <w:t>Job B:</w:t>
      </w:r>
      <w:r w:rsidRPr="00F23FE4">
        <w:rPr>
          <w:rFonts w:ascii="Segoe UI" w:eastAsia="Times New Roman" w:hAnsi="Segoe UI" w:cs="Segoe UI"/>
          <w:color w:val="0F1115"/>
          <w:sz w:val="24"/>
          <w:szCs w:val="24"/>
        </w:rPr>
        <w:t> ₱28,000 monthly salary, no allowance</w:t>
      </w:r>
    </w:p>
    <w:tbl>
      <w:tblPr>
        <w:tblW w:w="11280" w:type="dxa"/>
        <w:tblCellMar>
          <w:top w:w="15" w:type="dxa"/>
          <w:left w:w="15" w:type="dxa"/>
          <w:bottom w:w="15" w:type="dxa"/>
          <w:right w:w="15" w:type="dxa"/>
        </w:tblCellMar>
        <w:tblLook w:val="04A0" w:firstRow="1" w:lastRow="0" w:firstColumn="1" w:lastColumn="0" w:noHBand="0" w:noVBand="1"/>
      </w:tblPr>
      <w:tblGrid>
        <w:gridCol w:w="4092"/>
        <w:gridCol w:w="3830"/>
        <w:gridCol w:w="3358"/>
      </w:tblGrid>
      <w:tr w:rsidR="00F23FE4" w:rsidRPr="00F23FE4" w:rsidTr="00F23FE4">
        <w:trPr>
          <w:tblHeader/>
        </w:trPr>
        <w:tc>
          <w:tcPr>
            <w:tcW w:w="0" w:type="auto"/>
            <w:tcBorders>
              <w:top w:val="nil"/>
            </w:tcBorders>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Item</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Job A</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Job B</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Gross Income</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₱28,000</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₱28,000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SSS (5%)</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₱1,250</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₱1,400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PhilHealth (2.5%)</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₱625</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₱700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Pag-IBIG (2%)</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₱200</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₱200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Withholding Tax</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₱450 (approx.)</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₱980 (approx.)</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Total Deductions</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₱2,525</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₱3,280</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Net Income</w:t>
            </w:r>
          </w:p>
        </w:tc>
        <w:tc>
          <w:tcPr>
            <w:tcW w:w="0" w:type="auto"/>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₱25,475</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₱24,720</w:t>
            </w:r>
          </w:p>
        </w:tc>
      </w:tr>
    </w:tbl>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t>Conclusion:</w:t>
      </w:r>
      <w:r w:rsidRPr="00F23FE4">
        <w:rPr>
          <w:rFonts w:ascii="Segoe UI" w:eastAsia="Times New Roman" w:hAnsi="Segoe UI" w:cs="Segoe UI"/>
          <w:color w:val="0F1115"/>
          <w:sz w:val="24"/>
          <w:szCs w:val="24"/>
        </w:rPr>
        <w:t> Job A provides higher net income because the allowance is not subject to the same deductions as the base salary. However, other factors should also be considered: job security, career growth, work environment, commute time, and benefits (leave credits, health insurance, retirement plans).</w:t>
      </w:r>
    </w:p>
    <w:p w:rsidR="00F23FE4" w:rsidRPr="00F23FE4" w:rsidRDefault="00F23FE4" w:rsidP="00F23FE4">
      <w:pPr>
        <w:spacing w:before="480" w:after="480" w:line="240" w:lineRule="auto"/>
        <w:rPr>
          <w:rFonts w:ascii="Times New Roman" w:eastAsia="Times New Roman" w:hAnsi="Times New Roman" w:cs="Times New Roman"/>
          <w:sz w:val="24"/>
          <w:szCs w:val="24"/>
        </w:rPr>
      </w:pPr>
      <w:r w:rsidRPr="00F23FE4">
        <w:rPr>
          <w:rFonts w:ascii="Times New Roman" w:eastAsia="Times New Roman" w:hAnsi="Times New Roman" w:cs="Times New Roman"/>
          <w:sz w:val="24"/>
          <w:szCs w:val="24"/>
        </w:rPr>
        <w:pict>
          <v:rect id="_x0000_i1033" style="width:0;height:.75pt" o:hralign="center" o:hrstd="t" o:hr="t" fillcolor="#a0a0a0" stroked="f"/>
        </w:pict>
      </w:r>
    </w:p>
    <w:p w:rsidR="00F23FE4" w:rsidRPr="00F23FE4" w:rsidRDefault="00F23FE4" w:rsidP="00F23FE4">
      <w:pPr>
        <w:shd w:val="clear" w:color="auto" w:fill="FFFFFF"/>
        <w:spacing w:before="480" w:after="240" w:line="480" w:lineRule="atLeast"/>
        <w:outlineLvl w:val="1"/>
        <w:rPr>
          <w:rFonts w:ascii="Segoe UI" w:eastAsia="Times New Roman" w:hAnsi="Segoe UI" w:cs="Segoe UI"/>
          <w:b/>
          <w:bCs/>
          <w:color w:val="0F1115"/>
          <w:sz w:val="33"/>
          <w:szCs w:val="33"/>
        </w:rPr>
      </w:pPr>
      <w:r w:rsidRPr="00F23FE4">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3982"/>
        <w:gridCol w:w="7298"/>
      </w:tblGrid>
      <w:tr w:rsidR="00F23FE4" w:rsidRPr="00F23FE4" w:rsidTr="00F23FE4">
        <w:trPr>
          <w:tblHeader/>
        </w:trPr>
        <w:tc>
          <w:tcPr>
            <w:tcW w:w="0" w:type="auto"/>
            <w:tcBorders>
              <w:top w:val="nil"/>
            </w:tcBorders>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Definition</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Salary</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 xml:space="preserve">A fixed regular payment, typically paid monthly, semi-monthly, or </w:t>
            </w:r>
            <w:r w:rsidRPr="00F23FE4">
              <w:rPr>
                <w:rFonts w:ascii="Segoe UI" w:eastAsia="Times New Roman" w:hAnsi="Segoe UI" w:cs="Segoe UI"/>
                <w:sz w:val="23"/>
                <w:szCs w:val="23"/>
              </w:rPr>
              <w:lastRenderedPageBreak/>
              <w:t>weekly</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lastRenderedPageBreak/>
              <w:t>Wage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Earnings based on time worked (hourly, daily, weekly) or tasks completed</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Commission</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Income earned as a percentage of sales made</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Piecework</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Earnings based on the number of items or products completed</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Gross Income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Total earnings before any deductions are made</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Net Income</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Take-home pay — the amount left after deductions are subtracted</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SSS (Social Security System)</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Mandatory contribution for private sector employees for retirement, disability, and death benefits</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GSIS (Government Service Insurance System)</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Mandatory contribution for government employees</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PhilHealth</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Mandatory healthcare contribution for all employees</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Pag-IBIG (HDMF)</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Mandatory savings and housing loan fund for all employees</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Withholding Tax</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Income tax collected in advance by the employer</w:t>
            </w:r>
          </w:p>
        </w:tc>
      </w:tr>
      <w:tr w:rsidR="00F23FE4" w:rsidRPr="00F23FE4" w:rsidTr="00F23FE4">
        <w:tc>
          <w:tcPr>
            <w:tcW w:w="0" w:type="auto"/>
            <w:tcMar>
              <w:top w:w="150" w:type="dxa"/>
              <w:left w:w="0" w:type="dxa"/>
              <w:bottom w:w="150" w:type="dxa"/>
              <w:right w:w="24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b/>
                <w:bCs/>
                <w:sz w:val="23"/>
                <w:szCs w:val="23"/>
              </w:rPr>
              <w:t>Overtime Pay</w:t>
            </w:r>
          </w:p>
        </w:tc>
        <w:tc>
          <w:tcPr>
            <w:tcW w:w="0" w:type="auto"/>
            <w:tcMar>
              <w:top w:w="150" w:type="dxa"/>
              <w:left w:w="240" w:type="dxa"/>
              <w:bottom w:w="150" w:type="dxa"/>
              <w:right w:w="0" w:type="dxa"/>
            </w:tcMar>
            <w:vAlign w:val="center"/>
            <w:hideMark/>
          </w:tcPr>
          <w:p w:rsidR="00F23FE4" w:rsidRPr="00F23FE4" w:rsidRDefault="00F23FE4" w:rsidP="00F23FE4">
            <w:pPr>
              <w:spacing w:after="0" w:line="375" w:lineRule="atLeast"/>
              <w:rPr>
                <w:rFonts w:ascii="Segoe UI" w:eastAsia="Times New Roman" w:hAnsi="Segoe UI" w:cs="Segoe UI"/>
                <w:sz w:val="23"/>
                <w:szCs w:val="23"/>
              </w:rPr>
            </w:pPr>
            <w:r w:rsidRPr="00F23FE4">
              <w:rPr>
                <w:rFonts w:ascii="Segoe UI" w:eastAsia="Times New Roman" w:hAnsi="Segoe UI" w:cs="Segoe UI"/>
                <w:sz w:val="23"/>
                <w:szCs w:val="23"/>
              </w:rPr>
              <w:t>Extra pay for working beyond 8 hours per day (typically 125% of regular rate)</w:t>
            </w:r>
          </w:p>
        </w:tc>
      </w:tr>
    </w:tbl>
    <w:p w:rsidR="00F23FE4" w:rsidRPr="00F23FE4" w:rsidRDefault="00F23FE4" w:rsidP="00F23FE4">
      <w:pPr>
        <w:spacing w:before="480" w:after="480" w:line="240" w:lineRule="auto"/>
        <w:rPr>
          <w:rFonts w:ascii="Times New Roman" w:eastAsia="Times New Roman" w:hAnsi="Times New Roman" w:cs="Times New Roman"/>
          <w:sz w:val="24"/>
          <w:szCs w:val="24"/>
        </w:rPr>
      </w:pPr>
      <w:r w:rsidRPr="00F23FE4">
        <w:rPr>
          <w:rFonts w:ascii="Times New Roman" w:eastAsia="Times New Roman" w:hAnsi="Times New Roman" w:cs="Times New Roman"/>
          <w:sz w:val="24"/>
          <w:szCs w:val="24"/>
        </w:rPr>
        <w:pict>
          <v:rect id="_x0000_i1034" style="width:0;height:.75pt" o:hralign="center" o:hrstd="t" o:hr="t" fillcolor="#a0a0a0" stroked="f"/>
        </w:pict>
      </w:r>
    </w:p>
    <w:p w:rsidR="00F23FE4" w:rsidRPr="00F23FE4" w:rsidRDefault="00F23FE4" w:rsidP="00F23FE4">
      <w:pPr>
        <w:shd w:val="clear" w:color="auto" w:fill="FFFFFF"/>
        <w:spacing w:before="480" w:after="240" w:line="480" w:lineRule="atLeast"/>
        <w:outlineLvl w:val="1"/>
        <w:rPr>
          <w:rFonts w:ascii="Segoe UI" w:eastAsia="Times New Roman" w:hAnsi="Segoe UI" w:cs="Segoe UI"/>
          <w:b/>
          <w:bCs/>
          <w:color w:val="0F1115"/>
          <w:sz w:val="33"/>
          <w:szCs w:val="33"/>
        </w:rPr>
      </w:pPr>
      <w:r w:rsidRPr="00F23FE4">
        <w:rPr>
          <w:rFonts w:ascii="Segoe UI" w:eastAsia="Times New Roman" w:hAnsi="Segoe UI" w:cs="Segoe UI"/>
          <w:b/>
          <w:bCs/>
          <w:color w:val="0F1115"/>
          <w:sz w:val="33"/>
          <w:szCs w:val="33"/>
        </w:rPr>
        <w:t>Review Questions</w:t>
      </w:r>
    </w:p>
    <w:p w:rsidR="00F23FE4" w:rsidRPr="00F23FE4" w:rsidRDefault="00F23FE4" w:rsidP="00F23FE4">
      <w:pPr>
        <w:shd w:val="clear" w:color="auto" w:fill="FFFFFF"/>
        <w:spacing w:before="240" w:after="240" w:line="240" w:lineRule="auto"/>
        <w:rPr>
          <w:rFonts w:ascii="Segoe UI" w:eastAsia="Times New Roman" w:hAnsi="Segoe UI" w:cs="Segoe UI"/>
          <w:color w:val="0F1115"/>
          <w:sz w:val="24"/>
          <w:szCs w:val="24"/>
        </w:rPr>
      </w:pPr>
      <w:r w:rsidRPr="00F23FE4">
        <w:rPr>
          <w:rFonts w:ascii="Segoe UI" w:eastAsia="Times New Roman" w:hAnsi="Segoe UI" w:cs="Segoe UI"/>
          <w:i/>
          <w:iCs/>
          <w:color w:val="0F1115"/>
          <w:sz w:val="24"/>
          <w:szCs w:val="24"/>
        </w:rPr>
        <w:t>Responses should be written on a separate sheet of paper.</w:t>
      </w:r>
    </w:p>
    <w:p w:rsidR="00F23FE4" w:rsidRPr="00F23FE4" w:rsidRDefault="00F23FE4" w:rsidP="00F23FE4">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23FE4">
        <w:rPr>
          <w:rFonts w:ascii="Segoe UI" w:eastAsia="Times New Roman" w:hAnsi="Segoe UI" w:cs="Segoe UI"/>
          <w:color w:val="0F1115"/>
          <w:sz w:val="24"/>
          <w:szCs w:val="24"/>
        </w:rPr>
        <w:lastRenderedPageBreak/>
        <w:t>Distinguish between </w:t>
      </w:r>
      <w:r w:rsidRPr="00F23FE4">
        <w:rPr>
          <w:rFonts w:ascii="Segoe UI" w:eastAsia="Times New Roman" w:hAnsi="Segoe UI" w:cs="Segoe UI"/>
          <w:b/>
          <w:bCs/>
          <w:color w:val="0F1115"/>
          <w:sz w:val="24"/>
          <w:szCs w:val="24"/>
        </w:rPr>
        <w:t>gross income</w:t>
      </w:r>
      <w:r w:rsidRPr="00F23FE4">
        <w:rPr>
          <w:rFonts w:ascii="Segoe UI" w:eastAsia="Times New Roman" w:hAnsi="Segoe UI" w:cs="Segoe UI"/>
          <w:color w:val="0F1115"/>
          <w:sz w:val="24"/>
          <w:szCs w:val="24"/>
        </w:rPr>
        <w:t> and </w:t>
      </w:r>
      <w:r w:rsidRPr="00F23FE4">
        <w:rPr>
          <w:rFonts w:ascii="Segoe UI" w:eastAsia="Times New Roman" w:hAnsi="Segoe UI" w:cs="Segoe UI"/>
          <w:b/>
          <w:bCs/>
          <w:color w:val="0F1115"/>
          <w:sz w:val="24"/>
          <w:szCs w:val="24"/>
        </w:rPr>
        <w:t>net income</w:t>
      </w:r>
      <w:r w:rsidRPr="00F23FE4">
        <w:rPr>
          <w:rFonts w:ascii="Segoe UI" w:eastAsia="Times New Roman" w:hAnsi="Segoe UI" w:cs="Segoe UI"/>
          <w:color w:val="0F1115"/>
          <w:sz w:val="24"/>
          <w:szCs w:val="24"/>
        </w:rPr>
        <w:t>. Why is it important to understand the difference?</w:t>
      </w:r>
    </w:p>
    <w:p w:rsidR="00F23FE4" w:rsidRPr="00F23FE4" w:rsidRDefault="00F23FE4" w:rsidP="00F23FE4">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23FE4">
        <w:rPr>
          <w:rFonts w:ascii="Segoe UI" w:eastAsia="Times New Roman" w:hAnsi="Segoe UI" w:cs="Segoe UI"/>
          <w:color w:val="0F1115"/>
          <w:sz w:val="24"/>
          <w:szCs w:val="24"/>
        </w:rPr>
        <w:t>A factory worker earns ₱95 per hour. She works 40 regular hours and 8 overtime hours (paid at 1.25 times the regular rate). Calculate her total weekly wage.</w:t>
      </w:r>
    </w:p>
    <w:p w:rsidR="00F23FE4" w:rsidRPr="00F23FE4" w:rsidRDefault="00F23FE4" w:rsidP="00F23FE4">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23FE4">
        <w:rPr>
          <w:rFonts w:ascii="Segoe UI" w:eastAsia="Times New Roman" w:hAnsi="Segoe UI" w:cs="Segoe UI"/>
          <w:color w:val="0F1115"/>
          <w:sz w:val="24"/>
          <w:szCs w:val="24"/>
        </w:rPr>
        <w:t>A sales agent has a base salary of ₱8,000 per month and earns a 6% commission on total sales. In one month, she sold ₱120,000 worth of products. Compute her total monthly income.</w:t>
      </w:r>
    </w:p>
    <w:p w:rsidR="00F23FE4" w:rsidRPr="00F23FE4" w:rsidRDefault="00F23FE4" w:rsidP="00F23FE4">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23FE4">
        <w:rPr>
          <w:rFonts w:ascii="Segoe UI" w:eastAsia="Times New Roman" w:hAnsi="Segoe UI" w:cs="Segoe UI"/>
          <w:color w:val="0F1115"/>
          <w:sz w:val="24"/>
          <w:szCs w:val="24"/>
        </w:rPr>
        <w:t>What are the four mandatory government deductions in the Philippines? Briefly explain the purpose of each.</w:t>
      </w:r>
    </w:p>
    <w:p w:rsidR="00F23FE4" w:rsidRPr="00F23FE4" w:rsidRDefault="00F23FE4" w:rsidP="00F23FE4">
      <w:pPr>
        <w:numPr>
          <w:ilvl w:val="0"/>
          <w:numId w:val="6"/>
        </w:numPr>
        <w:shd w:val="clear" w:color="auto" w:fill="FFFFFF"/>
        <w:spacing w:before="100" w:beforeAutospacing="1" w:after="120" w:line="240" w:lineRule="auto"/>
        <w:ind w:left="0"/>
        <w:rPr>
          <w:rFonts w:ascii="Segoe UI" w:eastAsia="Times New Roman" w:hAnsi="Segoe UI" w:cs="Segoe UI"/>
          <w:color w:val="0F1115"/>
          <w:sz w:val="24"/>
          <w:szCs w:val="24"/>
        </w:rPr>
      </w:pPr>
      <w:r w:rsidRPr="00F23FE4">
        <w:rPr>
          <w:rFonts w:ascii="Segoe UI" w:eastAsia="Times New Roman" w:hAnsi="Segoe UI" w:cs="Segoe UI"/>
          <w:color w:val="0F1115"/>
          <w:sz w:val="24"/>
          <w:szCs w:val="24"/>
        </w:rPr>
        <w:t>Two job offers are presented:</w:t>
      </w:r>
    </w:p>
    <w:p w:rsidR="00F23FE4" w:rsidRPr="00F23FE4" w:rsidRDefault="00F23FE4" w:rsidP="00F23FE4">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t>Job X:</w:t>
      </w:r>
      <w:r w:rsidRPr="00F23FE4">
        <w:rPr>
          <w:rFonts w:ascii="Segoe UI" w:eastAsia="Times New Roman" w:hAnsi="Segoe UI" w:cs="Segoe UI"/>
          <w:color w:val="0F1115"/>
          <w:sz w:val="24"/>
          <w:szCs w:val="24"/>
        </w:rPr>
        <w:t> ₱22,000 monthly salary + ₱2,500 allowance</w:t>
      </w:r>
    </w:p>
    <w:p w:rsidR="00F23FE4" w:rsidRPr="00F23FE4" w:rsidRDefault="00F23FE4" w:rsidP="00F23FE4">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23FE4">
        <w:rPr>
          <w:rFonts w:ascii="Segoe UI" w:eastAsia="Times New Roman" w:hAnsi="Segoe UI" w:cs="Segoe UI"/>
          <w:b/>
          <w:bCs/>
          <w:color w:val="0F1115"/>
          <w:sz w:val="24"/>
          <w:szCs w:val="24"/>
        </w:rPr>
        <w:t>Job Y:</w:t>
      </w:r>
      <w:r w:rsidRPr="00F23FE4">
        <w:rPr>
          <w:rFonts w:ascii="Segoe UI" w:eastAsia="Times New Roman" w:hAnsi="Segoe UI" w:cs="Segoe UI"/>
          <w:color w:val="0F1115"/>
          <w:sz w:val="24"/>
          <w:szCs w:val="24"/>
        </w:rPr>
        <w:t> ₱25,000 monthly salary, no allowance</w:t>
      </w:r>
    </w:p>
    <w:p w:rsidR="00F23FE4" w:rsidRPr="00F23FE4" w:rsidRDefault="00F23FE4" w:rsidP="00F23FE4">
      <w:pPr>
        <w:shd w:val="clear" w:color="auto" w:fill="FFFFFF"/>
        <w:spacing w:before="120" w:after="0" w:line="240" w:lineRule="auto"/>
        <w:rPr>
          <w:rFonts w:ascii="Segoe UI" w:eastAsia="Times New Roman" w:hAnsi="Segoe UI" w:cs="Segoe UI"/>
          <w:color w:val="0F1115"/>
          <w:sz w:val="24"/>
          <w:szCs w:val="24"/>
        </w:rPr>
      </w:pPr>
      <w:r w:rsidRPr="00F23FE4">
        <w:rPr>
          <w:rFonts w:ascii="Segoe UI" w:eastAsia="Times New Roman" w:hAnsi="Segoe UI" w:cs="Segoe UI"/>
          <w:color w:val="0F1115"/>
          <w:sz w:val="24"/>
          <w:szCs w:val="24"/>
        </w:rPr>
        <w:t>Calculate the net income for both jobs (assuming SSS 5%, PhilHealth 2.5%, Pag-IBIG 2% capped at ₱200, and withholding tax at 0% for simplicity). Which job provides higher net income? Explain your answer.</w:t>
      </w:r>
    </w:p>
    <w:p w:rsidR="00351812" w:rsidRPr="00265AD8" w:rsidRDefault="00351812" w:rsidP="00265AD8">
      <w:bookmarkStart w:id="0" w:name="_GoBack"/>
      <w:bookmarkEnd w:id="0"/>
    </w:p>
    <w:sectPr w:rsidR="00351812" w:rsidRPr="00265A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081DCA"/>
    <w:multiLevelType w:val="multilevel"/>
    <w:tmpl w:val="0C6E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5C04801"/>
    <w:multiLevelType w:val="multilevel"/>
    <w:tmpl w:val="43684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64A601F"/>
    <w:multiLevelType w:val="multilevel"/>
    <w:tmpl w:val="9BF8F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DC85B8B"/>
    <w:multiLevelType w:val="multilevel"/>
    <w:tmpl w:val="7D1A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27C55C3"/>
    <w:multiLevelType w:val="multilevel"/>
    <w:tmpl w:val="DA48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70A1588"/>
    <w:multiLevelType w:val="multilevel"/>
    <w:tmpl w:val="7632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0"/>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38E"/>
    <w:rsid w:val="00023EF1"/>
    <w:rsid w:val="00034BAE"/>
    <w:rsid w:val="000A20D0"/>
    <w:rsid w:val="000F5EDD"/>
    <w:rsid w:val="001644A1"/>
    <w:rsid w:val="00230804"/>
    <w:rsid w:val="00230D55"/>
    <w:rsid w:val="00260801"/>
    <w:rsid w:val="00262EEB"/>
    <w:rsid w:val="002630A2"/>
    <w:rsid w:val="00265AD8"/>
    <w:rsid w:val="00310AFD"/>
    <w:rsid w:val="0034488A"/>
    <w:rsid w:val="00351812"/>
    <w:rsid w:val="003A2956"/>
    <w:rsid w:val="004D14D0"/>
    <w:rsid w:val="004E4346"/>
    <w:rsid w:val="00510374"/>
    <w:rsid w:val="00526356"/>
    <w:rsid w:val="0053378C"/>
    <w:rsid w:val="00544765"/>
    <w:rsid w:val="00583784"/>
    <w:rsid w:val="005B7A4C"/>
    <w:rsid w:val="005C5FA2"/>
    <w:rsid w:val="005E0AD1"/>
    <w:rsid w:val="00673090"/>
    <w:rsid w:val="006B75BE"/>
    <w:rsid w:val="007468DC"/>
    <w:rsid w:val="00796FB0"/>
    <w:rsid w:val="007B6458"/>
    <w:rsid w:val="008027AE"/>
    <w:rsid w:val="0080352B"/>
    <w:rsid w:val="00815CAC"/>
    <w:rsid w:val="0087338E"/>
    <w:rsid w:val="008B2324"/>
    <w:rsid w:val="009425C2"/>
    <w:rsid w:val="00953F45"/>
    <w:rsid w:val="009A7176"/>
    <w:rsid w:val="009E6523"/>
    <w:rsid w:val="00A139E3"/>
    <w:rsid w:val="00A168F6"/>
    <w:rsid w:val="00A62487"/>
    <w:rsid w:val="00AA6010"/>
    <w:rsid w:val="00AB4AFD"/>
    <w:rsid w:val="00AE27FF"/>
    <w:rsid w:val="00B667C6"/>
    <w:rsid w:val="00BF0C10"/>
    <w:rsid w:val="00C25206"/>
    <w:rsid w:val="00C54D85"/>
    <w:rsid w:val="00C71A2D"/>
    <w:rsid w:val="00C76EFE"/>
    <w:rsid w:val="00C82B84"/>
    <w:rsid w:val="00CB6860"/>
    <w:rsid w:val="00CE5B56"/>
    <w:rsid w:val="00CF6CB1"/>
    <w:rsid w:val="00D00A77"/>
    <w:rsid w:val="00D54BBB"/>
    <w:rsid w:val="00D56782"/>
    <w:rsid w:val="00D71F1E"/>
    <w:rsid w:val="00DC6BAD"/>
    <w:rsid w:val="00E4703B"/>
    <w:rsid w:val="00E92FE5"/>
    <w:rsid w:val="00F23FE4"/>
    <w:rsid w:val="00F277EF"/>
    <w:rsid w:val="00FC7F2C"/>
    <w:rsid w:val="00FE4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6775535">
      <w:bodyDiv w:val="1"/>
      <w:marLeft w:val="0"/>
      <w:marRight w:val="0"/>
      <w:marTop w:val="0"/>
      <w:marBottom w:val="0"/>
      <w:divBdr>
        <w:top w:val="none" w:sz="0" w:space="0" w:color="auto"/>
        <w:left w:val="none" w:sz="0" w:space="0" w:color="auto"/>
        <w:bottom w:val="none" w:sz="0" w:space="0" w:color="auto"/>
        <w:right w:val="none" w:sz="0" w:space="0" w:color="auto"/>
      </w:divBdr>
      <w:divsChild>
        <w:div w:id="719867680">
          <w:marLeft w:val="0"/>
          <w:marRight w:val="0"/>
          <w:marTop w:val="0"/>
          <w:marBottom w:val="0"/>
          <w:divBdr>
            <w:top w:val="none" w:sz="0" w:space="0" w:color="auto"/>
            <w:left w:val="none" w:sz="0" w:space="0" w:color="auto"/>
            <w:bottom w:val="none" w:sz="0" w:space="0" w:color="auto"/>
            <w:right w:val="none" w:sz="0" w:space="0" w:color="auto"/>
          </w:divBdr>
        </w:div>
        <w:div w:id="1293680967">
          <w:marLeft w:val="0"/>
          <w:marRight w:val="0"/>
          <w:marTop w:val="0"/>
          <w:marBottom w:val="0"/>
          <w:divBdr>
            <w:top w:val="none" w:sz="0" w:space="0" w:color="auto"/>
            <w:left w:val="none" w:sz="0" w:space="0" w:color="auto"/>
            <w:bottom w:val="none" w:sz="0" w:space="0" w:color="auto"/>
            <w:right w:val="none" w:sz="0" w:space="0" w:color="auto"/>
          </w:divBdr>
        </w:div>
        <w:div w:id="679352256">
          <w:marLeft w:val="0"/>
          <w:marRight w:val="0"/>
          <w:marTop w:val="0"/>
          <w:marBottom w:val="0"/>
          <w:divBdr>
            <w:top w:val="none" w:sz="0" w:space="0" w:color="auto"/>
            <w:left w:val="none" w:sz="0" w:space="0" w:color="auto"/>
            <w:bottom w:val="none" w:sz="0" w:space="0" w:color="auto"/>
            <w:right w:val="none" w:sz="0" w:space="0" w:color="auto"/>
          </w:divBdr>
        </w:div>
        <w:div w:id="268857917">
          <w:marLeft w:val="0"/>
          <w:marRight w:val="0"/>
          <w:marTop w:val="0"/>
          <w:marBottom w:val="0"/>
          <w:divBdr>
            <w:top w:val="none" w:sz="0" w:space="0" w:color="auto"/>
            <w:left w:val="none" w:sz="0" w:space="0" w:color="auto"/>
            <w:bottom w:val="none" w:sz="0" w:space="0" w:color="auto"/>
            <w:right w:val="none" w:sz="0" w:space="0" w:color="auto"/>
          </w:divBdr>
        </w:div>
        <w:div w:id="2000184355">
          <w:marLeft w:val="0"/>
          <w:marRight w:val="0"/>
          <w:marTop w:val="0"/>
          <w:marBottom w:val="0"/>
          <w:divBdr>
            <w:top w:val="none" w:sz="0" w:space="0" w:color="auto"/>
            <w:left w:val="none" w:sz="0" w:space="0" w:color="auto"/>
            <w:bottom w:val="none" w:sz="0" w:space="0" w:color="auto"/>
            <w:right w:val="none" w:sz="0" w:space="0" w:color="auto"/>
          </w:divBdr>
        </w:div>
        <w:div w:id="1342120083">
          <w:marLeft w:val="0"/>
          <w:marRight w:val="0"/>
          <w:marTop w:val="0"/>
          <w:marBottom w:val="0"/>
          <w:divBdr>
            <w:top w:val="none" w:sz="0" w:space="0" w:color="auto"/>
            <w:left w:val="none" w:sz="0" w:space="0" w:color="auto"/>
            <w:bottom w:val="none" w:sz="0" w:space="0" w:color="auto"/>
            <w:right w:val="none" w:sz="0" w:space="0" w:color="auto"/>
          </w:divBdr>
        </w:div>
        <w:div w:id="1577789277">
          <w:marLeft w:val="0"/>
          <w:marRight w:val="0"/>
          <w:marTop w:val="0"/>
          <w:marBottom w:val="0"/>
          <w:divBdr>
            <w:top w:val="none" w:sz="0" w:space="0" w:color="auto"/>
            <w:left w:val="none" w:sz="0" w:space="0" w:color="auto"/>
            <w:bottom w:val="none" w:sz="0" w:space="0" w:color="auto"/>
            <w:right w:val="none" w:sz="0" w:space="0" w:color="auto"/>
          </w:divBdr>
        </w:div>
        <w:div w:id="2032803594">
          <w:marLeft w:val="0"/>
          <w:marRight w:val="0"/>
          <w:marTop w:val="0"/>
          <w:marBottom w:val="0"/>
          <w:divBdr>
            <w:top w:val="none" w:sz="0" w:space="0" w:color="auto"/>
            <w:left w:val="none" w:sz="0" w:space="0" w:color="auto"/>
            <w:bottom w:val="none" w:sz="0" w:space="0" w:color="auto"/>
            <w:right w:val="none" w:sz="0" w:space="0" w:color="auto"/>
          </w:divBdr>
        </w:div>
        <w:div w:id="138229448">
          <w:marLeft w:val="0"/>
          <w:marRight w:val="0"/>
          <w:marTop w:val="0"/>
          <w:marBottom w:val="0"/>
          <w:divBdr>
            <w:top w:val="none" w:sz="0" w:space="0" w:color="auto"/>
            <w:left w:val="none" w:sz="0" w:space="0" w:color="auto"/>
            <w:bottom w:val="none" w:sz="0" w:space="0" w:color="auto"/>
            <w:right w:val="none" w:sz="0" w:space="0" w:color="auto"/>
          </w:divBdr>
        </w:div>
        <w:div w:id="721515225">
          <w:marLeft w:val="0"/>
          <w:marRight w:val="0"/>
          <w:marTop w:val="0"/>
          <w:marBottom w:val="0"/>
          <w:divBdr>
            <w:top w:val="none" w:sz="0" w:space="0" w:color="auto"/>
            <w:left w:val="none" w:sz="0" w:space="0" w:color="auto"/>
            <w:bottom w:val="none" w:sz="0" w:space="0" w:color="auto"/>
            <w:right w:val="none" w:sz="0" w:space="0" w:color="auto"/>
          </w:divBdr>
        </w:div>
        <w:div w:id="2010404439">
          <w:marLeft w:val="0"/>
          <w:marRight w:val="0"/>
          <w:marTop w:val="0"/>
          <w:marBottom w:val="0"/>
          <w:divBdr>
            <w:top w:val="none" w:sz="0" w:space="0" w:color="auto"/>
            <w:left w:val="none" w:sz="0" w:space="0" w:color="auto"/>
            <w:bottom w:val="none" w:sz="0" w:space="0" w:color="auto"/>
            <w:right w:val="none" w:sz="0" w:space="0" w:color="auto"/>
          </w:divBdr>
        </w:div>
        <w:div w:id="31809278">
          <w:marLeft w:val="0"/>
          <w:marRight w:val="0"/>
          <w:marTop w:val="0"/>
          <w:marBottom w:val="0"/>
          <w:divBdr>
            <w:top w:val="none" w:sz="0" w:space="0" w:color="auto"/>
            <w:left w:val="none" w:sz="0" w:space="0" w:color="auto"/>
            <w:bottom w:val="none" w:sz="0" w:space="0" w:color="auto"/>
            <w:right w:val="none" w:sz="0" w:space="0" w:color="auto"/>
          </w:divBdr>
        </w:div>
        <w:div w:id="775104863">
          <w:marLeft w:val="0"/>
          <w:marRight w:val="0"/>
          <w:marTop w:val="0"/>
          <w:marBottom w:val="0"/>
          <w:divBdr>
            <w:top w:val="none" w:sz="0" w:space="0" w:color="auto"/>
            <w:left w:val="none" w:sz="0" w:space="0" w:color="auto"/>
            <w:bottom w:val="none" w:sz="0" w:space="0" w:color="auto"/>
            <w:right w:val="none" w:sz="0" w:space="0" w:color="auto"/>
          </w:divBdr>
        </w:div>
        <w:div w:id="773523469">
          <w:marLeft w:val="0"/>
          <w:marRight w:val="0"/>
          <w:marTop w:val="0"/>
          <w:marBottom w:val="0"/>
          <w:divBdr>
            <w:top w:val="none" w:sz="0" w:space="0" w:color="auto"/>
            <w:left w:val="none" w:sz="0" w:space="0" w:color="auto"/>
            <w:bottom w:val="none" w:sz="0" w:space="0" w:color="auto"/>
            <w:right w:val="none" w:sz="0" w:space="0" w:color="auto"/>
          </w:divBdr>
        </w:div>
      </w:divsChild>
    </w:div>
    <w:div w:id="949122957">
      <w:bodyDiv w:val="1"/>
      <w:marLeft w:val="0"/>
      <w:marRight w:val="0"/>
      <w:marTop w:val="0"/>
      <w:marBottom w:val="0"/>
      <w:divBdr>
        <w:top w:val="none" w:sz="0" w:space="0" w:color="auto"/>
        <w:left w:val="none" w:sz="0" w:space="0" w:color="auto"/>
        <w:bottom w:val="none" w:sz="0" w:space="0" w:color="auto"/>
        <w:right w:val="none" w:sz="0" w:space="0" w:color="auto"/>
      </w:divBdr>
      <w:divsChild>
        <w:div w:id="297223428">
          <w:marLeft w:val="0"/>
          <w:marRight w:val="0"/>
          <w:marTop w:val="0"/>
          <w:marBottom w:val="0"/>
          <w:divBdr>
            <w:top w:val="none" w:sz="0" w:space="0" w:color="auto"/>
            <w:left w:val="none" w:sz="0" w:space="0" w:color="auto"/>
            <w:bottom w:val="none" w:sz="0" w:space="0" w:color="auto"/>
            <w:right w:val="none" w:sz="0" w:space="0" w:color="auto"/>
          </w:divBdr>
        </w:div>
        <w:div w:id="1638872279">
          <w:marLeft w:val="0"/>
          <w:marRight w:val="0"/>
          <w:marTop w:val="0"/>
          <w:marBottom w:val="0"/>
          <w:divBdr>
            <w:top w:val="none" w:sz="0" w:space="0" w:color="auto"/>
            <w:left w:val="none" w:sz="0" w:space="0" w:color="auto"/>
            <w:bottom w:val="none" w:sz="0" w:space="0" w:color="auto"/>
            <w:right w:val="none" w:sz="0" w:space="0" w:color="auto"/>
          </w:divBdr>
        </w:div>
        <w:div w:id="981082290">
          <w:marLeft w:val="0"/>
          <w:marRight w:val="0"/>
          <w:marTop w:val="0"/>
          <w:marBottom w:val="0"/>
          <w:divBdr>
            <w:top w:val="none" w:sz="0" w:space="0" w:color="auto"/>
            <w:left w:val="none" w:sz="0" w:space="0" w:color="auto"/>
            <w:bottom w:val="none" w:sz="0" w:space="0" w:color="auto"/>
            <w:right w:val="none" w:sz="0" w:space="0" w:color="auto"/>
          </w:divBdr>
        </w:div>
        <w:div w:id="308021191">
          <w:marLeft w:val="0"/>
          <w:marRight w:val="0"/>
          <w:marTop w:val="0"/>
          <w:marBottom w:val="0"/>
          <w:divBdr>
            <w:top w:val="none" w:sz="0" w:space="0" w:color="auto"/>
            <w:left w:val="none" w:sz="0" w:space="0" w:color="auto"/>
            <w:bottom w:val="none" w:sz="0" w:space="0" w:color="auto"/>
            <w:right w:val="none" w:sz="0" w:space="0" w:color="auto"/>
          </w:divBdr>
        </w:div>
        <w:div w:id="1525365949">
          <w:marLeft w:val="0"/>
          <w:marRight w:val="0"/>
          <w:marTop w:val="0"/>
          <w:marBottom w:val="0"/>
          <w:divBdr>
            <w:top w:val="none" w:sz="0" w:space="0" w:color="auto"/>
            <w:left w:val="none" w:sz="0" w:space="0" w:color="auto"/>
            <w:bottom w:val="none" w:sz="0" w:space="0" w:color="auto"/>
            <w:right w:val="none" w:sz="0" w:space="0" w:color="auto"/>
          </w:divBdr>
        </w:div>
        <w:div w:id="1944608640">
          <w:marLeft w:val="0"/>
          <w:marRight w:val="0"/>
          <w:marTop w:val="0"/>
          <w:marBottom w:val="0"/>
          <w:divBdr>
            <w:top w:val="none" w:sz="0" w:space="0" w:color="auto"/>
            <w:left w:val="none" w:sz="0" w:space="0" w:color="auto"/>
            <w:bottom w:val="none" w:sz="0" w:space="0" w:color="auto"/>
            <w:right w:val="none" w:sz="0" w:space="0" w:color="auto"/>
          </w:divBdr>
        </w:div>
        <w:div w:id="1372418227">
          <w:marLeft w:val="0"/>
          <w:marRight w:val="0"/>
          <w:marTop w:val="0"/>
          <w:marBottom w:val="0"/>
          <w:divBdr>
            <w:top w:val="none" w:sz="0" w:space="0" w:color="auto"/>
            <w:left w:val="none" w:sz="0" w:space="0" w:color="auto"/>
            <w:bottom w:val="none" w:sz="0" w:space="0" w:color="auto"/>
            <w:right w:val="none" w:sz="0" w:space="0" w:color="auto"/>
          </w:divBdr>
        </w:div>
        <w:div w:id="1488092889">
          <w:marLeft w:val="0"/>
          <w:marRight w:val="0"/>
          <w:marTop w:val="0"/>
          <w:marBottom w:val="0"/>
          <w:divBdr>
            <w:top w:val="none" w:sz="0" w:space="0" w:color="auto"/>
            <w:left w:val="none" w:sz="0" w:space="0" w:color="auto"/>
            <w:bottom w:val="none" w:sz="0" w:space="0" w:color="auto"/>
            <w:right w:val="none" w:sz="0" w:space="0" w:color="auto"/>
          </w:divBdr>
        </w:div>
        <w:div w:id="1799907930">
          <w:marLeft w:val="0"/>
          <w:marRight w:val="0"/>
          <w:marTop w:val="0"/>
          <w:marBottom w:val="0"/>
          <w:divBdr>
            <w:top w:val="none" w:sz="0" w:space="0" w:color="auto"/>
            <w:left w:val="none" w:sz="0" w:space="0" w:color="auto"/>
            <w:bottom w:val="none" w:sz="0" w:space="0" w:color="auto"/>
            <w:right w:val="none" w:sz="0" w:space="0" w:color="auto"/>
          </w:divBdr>
        </w:div>
        <w:div w:id="1226841387">
          <w:marLeft w:val="0"/>
          <w:marRight w:val="0"/>
          <w:marTop w:val="0"/>
          <w:marBottom w:val="0"/>
          <w:divBdr>
            <w:top w:val="none" w:sz="0" w:space="0" w:color="auto"/>
            <w:left w:val="none" w:sz="0" w:space="0" w:color="auto"/>
            <w:bottom w:val="none" w:sz="0" w:space="0" w:color="auto"/>
            <w:right w:val="none" w:sz="0" w:space="0" w:color="auto"/>
          </w:divBdr>
        </w:div>
        <w:div w:id="833496066">
          <w:marLeft w:val="0"/>
          <w:marRight w:val="0"/>
          <w:marTop w:val="0"/>
          <w:marBottom w:val="0"/>
          <w:divBdr>
            <w:top w:val="none" w:sz="0" w:space="0" w:color="auto"/>
            <w:left w:val="none" w:sz="0" w:space="0" w:color="auto"/>
            <w:bottom w:val="none" w:sz="0" w:space="0" w:color="auto"/>
            <w:right w:val="none" w:sz="0" w:space="0" w:color="auto"/>
          </w:divBdr>
        </w:div>
        <w:div w:id="1244416256">
          <w:marLeft w:val="0"/>
          <w:marRight w:val="0"/>
          <w:marTop w:val="0"/>
          <w:marBottom w:val="0"/>
          <w:divBdr>
            <w:top w:val="none" w:sz="0" w:space="0" w:color="auto"/>
            <w:left w:val="none" w:sz="0" w:space="0" w:color="auto"/>
            <w:bottom w:val="none" w:sz="0" w:space="0" w:color="auto"/>
            <w:right w:val="none" w:sz="0" w:space="0" w:color="auto"/>
          </w:divBdr>
        </w:div>
        <w:div w:id="2019698596">
          <w:marLeft w:val="0"/>
          <w:marRight w:val="0"/>
          <w:marTop w:val="0"/>
          <w:marBottom w:val="0"/>
          <w:divBdr>
            <w:top w:val="none" w:sz="0" w:space="0" w:color="auto"/>
            <w:left w:val="none" w:sz="0" w:space="0" w:color="auto"/>
            <w:bottom w:val="none" w:sz="0" w:space="0" w:color="auto"/>
            <w:right w:val="none" w:sz="0" w:space="0" w:color="auto"/>
          </w:divBdr>
        </w:div>
        <w:div w:id="170223762">
          <w:marLeft w:val="0"/>
          <w:marRight w:val="0"/>
          <w:marTop w:val="0"/>
          <w:marBottom w:val="0"/>
          <w:divBdr>
            <w:top w:val="none" w:sz="0" w:space="0" w:color="auto"/>
            <w:left w:val="none" w:sz="0" w:space="0" w:color="auto"/>
            <w:bottom w:val="none" w:sz="0" w:space="0" w:color="auto"/>
            <w:right w:val="none" w:sz="0" w:space="0" w:color="auto"/>
          </w:divBdr>
        </w:div>
        <w:div w:id="131365528">
          <w:marLeft w:val="0"/>
          <w:marRight w:val="0"/>
          <w:marTop w:val="0"/>
          <w:marBottom w:val="0"/>
          <w:divBdr>
            <w:top w:val="none" w:sz="0" w:space="0" w:color="auto"/>
            <w:left w:val="none" w:sz="0" w:space="0" w:color="auto"/>
            <w:bottom w:val="none" w:sz="0" w:space="0" w:color="auto"/>
            <w:right w:val="none" w:sz="0" w:space="0" w:color="auto"/>
          </w:divBdr>
        </w:div>
        <w:div w:id="1759908881">
          <w:marLeft w:val="0"/>
          <w:marRight w:val="0"/>
          <w:marTop w:val="0"/>
          <w:marBottom w:val="0"/>
          <w:divBdr>
            <w:top w:val="none" w:sz="0" w:space="0" w:color="auto"/>
            <w:left w:val="none" w:sz="0" w:space="0" w:color="auto"/>
            <w:bottom w:val="none" w:sz="0" w:space="0" w:color="auto"/>
            <w:right w:val="none" w:sz="0" w:space="0" w:color="auto"/>
          </w:divBdr>
        </w:div>
        <w:div w:id="106892861">
          <w:marLeft w:val="0"/>
          <w:marRight w:val="0"/>
          <w:marTop w:val="0"/>
          <w:marBottom w:val="0"/>
          <w:divBdr>
            <w:top w:val="none" w:sz="0" w:space="0" w:color="auto"/>
            <w:left w:val="none" w:sz="0" w:space="0" w:color="auto"/>
            <w:bottom w:val="none" w:sz="0" w:space="0" w:color="auto"/>
            <w:right w:val="none" w:sz="0" w:space="0" w:color="auto"/>
          </w:divBdr>
        </w:div>
        <w:div w:id="1115364253">
          <w:marLeft w:val="0"/>
          <w:marRight w:val="0"/>
          <w:marTop w:val="0"/>
          <w:marBottom w:val="0"/>
          <w:divBdr>
            <w:top w:val="none" w:sz="0" w:space="0" w:color="auto"/>
            <w:left w:val="none" w:sz="0" w:space="0" w:color="auto"/>
            <w:bottom w:val="none" w:sz="0" w:space="0" w:color="auto"/>
            <w:right w:val="none" w:sz="0" w:space="0" w:color="auto"/>
          </w:divBdr>
        </w:div>
      </w:divsChild>
    </w:div>
    <w:div w:id="1149398723">
      <w:bodyDiv w:val="1"/>
      <w:marLeft w:val="0"/>
      <w:marRight w:val="0"/>
      <w:marTop w:val="0"/>
      <w:marBottom w:val="0"/>
      <w:divBdr>
        <w:top w:val="none" w:sz="0" w:space="0" w:color="auto"/>
        <w:left w:val="none" w:sz="0" w:space="0" w:color="auto"/>
        <w:bottom w:val="none" w:sz="0" w:space="0" w:color="auto"/>
        <w:right w:val="none" w:sz="0" w:space="0" w:color="auto"/>
      </w:divBdr>
      <w:divsChild>
        <w:div w:id="442309955">
          <w:marLeft w:val="0"/>
          <w:marRight w:val="0"/>
          <w:marTop w:val="0"/>
          <w:marBottom w:val="0"/>
          <w:divBdr>
            <w:top w:val="none" w:sz="0" w:space="0" w:color="auto"/>
            <w:left w:val="none" w:sz="0" w:space="0" w:color="auto"/>
            <w:bottom w:val="none" w:sz="0" w:space="0" w:color="auto"/>
            <w:right w:val="none" w:sz="0" w:space="0" w:color="auto"/>
          </w:divBdr>
        </w:div>
        <w:div w:id="870336178">
          <w:marLeft w:val="0"/>
          <w:marRight w:val="0"/>
          <w:marTop w:val="0"/>
          <w:marBottom w:val="0"/>
          <w:divBdr>
            <w:top w:val="none" w:sz="0" w:space="0" w:color="auto"/>
            <w:left w:val="none" w:sz="0" w:space="0" w:color="auto"/>
            <w:bottom w:val="none" w:sz="0" w:space="0" w:color="auto"/>
            <w:right w:val="none" w:sz="0" w:space="0" w:color="auto"/>
          </w:divBdr>
        </w:div>
        <w:div w:id="917057964">
          <w:marLeft w:val="0"/>
          <w:marRight w:val="0"/>
          <w:marTop w:val="0"/>
          <w:marBottom w:val="0"/>
          <w:divBdr>
            <w:top w:val="none" w:sz="0" w:space="0" w:color="auto"/>
            <w:left w:val="none" w:sz="0" w:space="0" w:color="auto"/>
            <w:bottom w:val="none" w:sz="0" w:space="0" w:color="auto"/>
            <w:right w:val="none" w:sz="0" w:space="0" w:color="auto"/>
          </w:divBdr>
        </w:div>
        <w:div w:id="1578977697">
          <w:marLeft w:val="0"/>
          <w:marRight w:val="0"/>
          <w:marTop w:val="0"/>
          <w:marBottom w:val="0"/>
          <w:divBdr>
            <w:top w:val="none" w:sz="0" w:space="0" w:color="auto"/>
            <w:left w:val="none" w:sz="0" w:space="0" w:color="auto"/>
            <w:bottom w:val="none" w:sz="0" w:space="0" w:color="auto"/>
            <w:right w:val="none" w:sz="0" w:space="0" w:color="auto"/>
          </w:divBdr>
        </w:div>
        <w:div w:id="798303993">
          <w:marLeft w:val="0"/>
          <w:marRight w:val="0"/>
          <w:marTop w:val="0"/>
          <w:marBottom w:val="0"/>
          <w:divBdr>
            <w:top w:val="none" w:sz="0" w:space="0" w:color="auto"/>
            <w:left w:val="none" w:sz="0" w:space="0" w:color="auto"/>
            <w:bottom w:val="none" w:sz="0" w:space="0" w:color="auto"/>
            <w:right w:val="none" w:sz="0" w:space="0" w:color="auto"/>
          </w:divBdr>
        </w:div>
        <w:div w:id="298539081">
          <w:marLeft w:val="0"/>
          <w:marRight w:val="0"/>
          <w:marTop w:val="0"/>
          <w:marBottom w:val="0"/>
          <w:divBdr>
            <w:top w:val="none" w:sz="0" w:space="0" w:color="auto"/>
            <w:left w:val="none" w:sz="0" w:space="0" w:color="auto"/>
            <w:bottom w:val="none" w:sz="0" w:space="0" w:color="auto"/>
            <w:right w:val="none" w:sz="0" w:space="0" w:color="auto"/>
          </w:divBdr>
        </w:div>
        <w:div w:id="849413806">
          <w:marLeft w:val="0"/>
          <w:marRight w:val="0"/>
          <w:marTop w:val="0"/>
          <w:marBottom w:val="0"/>
          <w:divBdr>
            <w:top w:val="none" w:sz="0" w:space="0" w:color="auto"/>
            <w:left w:val="none" w:sz="0" w:space="0" w:color="auto"/>
            <w:bottom w:val="none" w:sz="0" w:space="0" w:color="auto"/>
            <w:right w:val="none" w:sz="0" w:space="0" w:color="auto"/>
          </w:divBdr>
        </w:div>
        <w:div w:id="1037386283">
          <w:marLeft w:val="0"/>
          <w:marRight w:val="0"/>
          <w:marTop w:val="0"/>
          <w:marBottom w:val="0"/>
          <w:divBdr>
            <w:top w:val="none" w:sz="0" w:space="0" w:color="auto"/>
            <w:left w:val="none" w:sz="0" w:space="0" w:color="auto"/>
            <w:bottom w:val="none" w:sz="0" w:space="0" w:color="auto"/>
            <w:right w:val="none" w:sz="0" w:space="0" w:color="auto"/>
          </w:divBdr>
        </w:div>
        <w:div w:id="1588533067">
          <w:marLeft w:val="0"/>
          <w:marRight w:val="0"/>
          <w:marTop w:val="0"/>
          <w:marBottom w:val="0"/>
          <w:divBdr>
            <w:top w:val="none" w:sz="0" w:space="0" w:color="auto"/>
            <w:left w:val="none" w:sz="0" w:space="0" w:color="auto"/>
            <w:bottom w:val="none" w:sz="0" w:space="0" w:color="auto"/>
            <w:right w:val="none" w:sz="0" w:space="0" w:color="auto"/>
          </w:divBdr>
        </w:div>
        <w:div w:id="878929225">
          <w:marLeft w:val="0"/>
          <w:marRight w:val="0"/>
          <w:marTop w:val="0"/>
          <w:marBottom w:val="0"/>
          <w:divBdr>
            <w:top w:val="none" w:sz="0" w:space="0" w:color="auto"/>
            <w:left w:val="none" w:sz="0" w:space="0" w:color="auto"/>
            <w:bottom w:val="none" w:sz="0" w:space="0" w:color="auto"/>
            <w:right w:val="none" w:sz="0" w:space="0" w:color="auto"/>
          </w:divBdr>
        </w:div>
        <w:div w:id="35471368">
          <w:marLeft w:val="0"/>
          <w:marRight w:val="0"/>
          <w:marTop w:val="0"/>
          <w:marBottom w:val="0"/>
          <w:divBdr>
            <w:top w:val="none" w:sz="0" w:space="0" w:color="auto"/>
            <w:left w:val="none" w:sz="0" w:space="0" w:color="auto"/>
            <w:bottom w:val="none" w:sz="0" w:space="0" w:color="auto"/>
            <w:right w:val="none" w:sz="0" w:space="0" w:color="auto"/>
          </w:divBdr>
        </w:div>
        <w:div w:id="670985845">
          <w:marLeft w:val="0"/>
          <w:marRight w:val="0"/>
          <w:marTop w:val="0"/>
          <w:marBottom w:val="0"/>
          <w:divBdr>
            <w:top w:val="none" w:sz="0" w:space="0" w:color="auto"/>
            <w:left w:val="none" w:sz="0" w:space="0" w:color="auto"/>
            <w:bottom w:val="none" w:sz="0" w:space="0" w:color="auto"/>
            <w:right w:val="none" w:sz="0" w:space="0" w:color="auto"/>
          </w:divBdr>
        </w:div>
        <w:div w:id="1838155585">
          <w:marLeft w:val="0"/>
          <w:marRight w:val="0"/>
          <w:marTop w:val="0"/>
          <w:marBottom w:val="0"/>
          <w:divBdr>
            <w:top w:val="none" w:sz="0" w:space="0" w:color="auto"/>
            <w:left w:val="none" w:sz="0" w:space="0" w:color="auto"/>
            <w:bottom w:val="none" w:sz="0" w:space="0" w:color="auto"/>
            <w:right w:val="none" w:sz="0" w:space="0" w:color="auto"/>
          </w:divBdr>
        </w:div>
      </w:divsChild>
    </w:div>
    <w:div w:id="1551264142">
      <w:bodyDiv w:val="1"/>
      <w:marLeft w:val="0"/>
      <w:marRight w:val="0"/>
      <w:marTop w:val="0"/>
      <w:marBottom w:val="0"/>
      <w:divBdr>
        <w:top w:val="none" w:sz="0" w:space="0" w:color="auto"/>
        <w:left w:val="none" w:sz="0" w:space="0" w:color="auto"/>
        <w:bottom w:val="none" w:sz="0" w:space="0" w:color="auto"/>
        <w:right w:val="none" w:sz="0" w:space="0" w:color="auto"/>
      </w:divBdr>
      <w:divsChild>
        <w:div w:id="913006672">
          <w:marLeft w:val="0"/>
          <w:marRight w:val="0"/>
          <w:marTop w:val="0"/>
          <w:marBottom w:val="0"/>
          <w:divBdr>
            <w:top w:val="none" w:sz="0" w:space="0" w:color="auto"/>
            <w:left w:val="none" w:sz="0" w:space="0" w:color="auto"/>
            <w:bottom w:val="none" w:sz="0" w:space="0" w:color="auto"/>
            <w:right w:val="none" w:sz="0" w:space="0" w:color="auto"/>
          </w:divBdr>
        </w:div>
        <w:div w:id="710151256">
          <w:marLeft w:val="0"/>
          <w:marRight w:val="0"/>
          <w:marTop w:val="0"/>
          <w:marBottom w:val="0"/>
          <w:divBdr>
            <w:top w:val="none" w:sz="0" w:space="0" w:color="auto"/>
            <w:left w:val="none" w:sz="0" w:space="0" w:color="auto"/>
            <w:bottom w:val="none" w:sz="0" w:space="0" w:color="auto"/>
            <w:right w:val="none" w:sz="0" w:space="0" w:color="auto"/>
          </w:divBdr>
        </w:div>
        <w:div w:id="1975211940">
          <w:marLeft w:val="0"/>
          <w:marRight w:val="0"/>
          <w:marTop w:val="0"/>
          <w:marBottom w:val="0"/>
          <w:divBdr>
            <w:top w:val="none" w:sz="0" w:space="0" w:color="auto"/>
            <w:left w:val="none" w:sz="0" w:space="0" w:color="auto"/>
            <w:bottom w:val="none" w:sz="0" w:space="0" w:color="auto"/>
            <w:right w:val="none" w:sz="0" w:space="0" w:color="auto"/>
          </w:divBdr>
        </w:div>
        <w:div w:id="465123893">
          <w:marLeft w:val="0"/>
          <w:marRight w:val="0"/>
          <w:marTop w:val="0"/>
          <w:marBottom w:val="0"/>
          <w:divBdr>
            <w:top w:val="none" w:sz="0" w:space="0" w:color="auto"/>
            <w:left w:val="none" w:sz="0" w:space="0" w:color="auto"/>
            <w:bottom w:val="none" w:sz="0" w:space="0" w:color="auto"/>
            <w:right w:val="none" w:sz="0" w:space="0" w:color="auto"/>
          </w:divBdr>
        </w:div>
        <w:div w:id="2109498140">
          <w:marLeft w:val="0"/>
          <w:marRight w:val="0"/>
          <w:marTop w:val="0"/>
          <w:marBottom w:val="0"/>
          <w:divBdr>
            <w:top w:val="none" w:sz="0" w:space="0" w:color="auto"/>
            <w:left w:val="none" w:sz="0" w:space="0" w:color="auto"/>
            <w:bottom w:val="none" w:sz="0" w:space="0" w:color="auto"/>
            <w:right w:val="none" w:sz="0" w:space="0" w:color="auto"/>
          </w:divBdr>
        </w:div>
        <w:div w:id="839540567">
          <w:marLeft w:val="0"/>
          <w:marRight w:val="0"/>
          <w:marTop w:val="0"/>
          <w:marBottom w:val="0"/>
          <w:divBdr>
            <w:top w:val="none" w:sz="0" w:space="0" w:color="auto"/>
            <w:left w:val="none" w:sz="0" w:space="0" w:color="auto"/>
            <w:bottom w:val="none" w:sz="0" w:space="0" w:color="auto"/>
            <w:right w:val="none" w:sz="0" w:space="0" w:color="auto"/>
          </w:divBdr>
        </w:div>
        <w:div w:id="192040629">
          <w:marLeft w:val="0"/>
          <w:marRight w:val="0"/>
          <w:marTop w:val="0"/>
          <w:marBottom w:val="0"/>
          <w:divBdr>
            <w:top w:val="none" w:sz="0" w:space="0" w:color="auto"/>
            <w:left w:val="none" w:sz="0" w:space="0" w:color="auto"/>
            <w:bottom w:val="none" w:sz="0" w:space="0" w:color="auto"/>
            <w:right w:val="none" w:sz="0" w:space="0" w:color="auto"/>
          </w:divBdr>
        </w:div>
        <w:div w:id="479541745">
          <w:marLeft w:val="0"/>
          <w:marRight w:val="0"/>
          <w:marTop w:val="0"/>
          <w:marBottom w:val="0"/>
          <w:divBdr>
            <w:top w:val="none" w:sz="0" w:space="0" w:color="auto"/>
            <w:left w:val="none" w:sz="0" w:space="0" w:color="auto"/>
            <w:bottom w:val="none" w:sz="0" w:space="0" w:color="auto"/>
            <w:right w:val="none" w:sz="0" w:space="0" w:color="auto"/>
          </w:divBdr>
        </w:div>
        <w:div w:id="1758014083">
          <w:marLeft w:val="0"/>
          <w:marRight w:val="0"/>
          <w:marTop w:val="0"/>
          <w:marBottom w:val="0"/>
          <w:divBdr>
            <w:top w:val="none" w:sz="0" w:space="0" w:color="auto"/>
            <w:left w:val="none" w:sz="0" w:space="0" w:color="auto"/>
            <w:bottom w:val="none" w:sz="0" w:space="0" w:color="auto"/>
            <w:right w:val="none" w:sz="0" w:space="0" w:color="auto"/>
          </w:divBdr>
        </w:div>
        <w:div w:id="735007683">
          <w:marLeft w:val="0"/>
          <w:marRight w:val="0"/>
          <w:marTop w:val="0"/>
          <w:marBottom w:val="0"/>
          <w:divBdr>
            <w:top w:val="none" w:sz="0" w:space="0" w:color="auto"/>
            <w:left w:val="none" w:sz="0" w:space="0" w:color="auto"/>
            <w:bottom w:val="none" w:sz="0" w:space="0" w:color="auto"/>
            <w:right w:val="none" w:sz="0" w:space="0" w:color="auto"/>
          </w:divBdr>
        </w:div>
        <w:div w:id="624699333">
          <w:marLeft w:val="0"/>
          <w:marRight w:val="0"/>
          <w:marTop w:val="0"/>
          <w:marBottom w:val="0"/>
          <w:divBdr>
            <w:top w:val="none" w:sz="0" w:space="0" w:color="auto"/>
            <w:left w:val="none" w:sz="0" w:space="0" w:color="auto"/>
            <w:bottom w:val="none" w:sz="0" w:space="0" w:color="auto"/>
            <w:right w:val="none" w:sz="0" w:space="0" w:color="auto"/>
          </w:divBdr>
        </w:div>
        <w:div w:id="905651180">
          <w:marLeft w:val="0"/>
          <w:marRight w:val="0"/>
          <w:marTop w:val="0"/>
          <w:marBottom w:val="0"/>
          <w:divBdr>
            <w:top w:val="none" w:sz="0" w:space="0" w:color="auto"/>
            <w:left w:val="none" w:sz="0" w:space="0" w:color="auto"/>
            <w:bottom w:val="none" w:sz="0" w:space="0" w:color="auto"/>
            <w:right w:val="none" w:sz="0" w:space="0" w:color="auto"/>
          </w:divBdr>
        </w:div>
        <w:div w:id="108742515">
          <w:marLeft w:val="0"/>
          <w:marRight w:val="0"/>
          <w:marTop w:val="0"/>
          <w:marBottom w:val="0"/>
          <w:divBdr>
            <w:top w:val="none" w:sz="0" w:space="0" w:color="auto"/>
            <w:left w:val="none" w:sz="0" w:space="0" w:color="auto"/>
            <w:bottom w:val="none" w:sz="0" w:space="0" w:color="auto"/>
            <w:right w:val="none" w:sz="0" w:space="0" w:color="auto"/>
          </w:divBdr>
        </w:div>
        <w:div w:id="963928358">
          <w:marLeft w:val="0"/>
          <w:marRight w:val="0"/>
          <w:marTop w:val="0"/>
          <w:marBottom w:val="0"/>
          <w:divBdr>
            <w:top w:val="none" w:sz="0" w:space="0" w:color="auto"/>
            <w:left w:val="none" w:sz="0" w:space="0" w:color="auto"/>
            <w:bottom w:val="none" w:sz="0" w:space="0" w:color="auto"/>
            <w:right w:val="none" w:sz="0" w:space="0" w:color="auto"/>
          </w:divBdr>
        </w:div>
        <w:div w:id="15904569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14</Pages>
  <Words>1844</Words>
  <Characters>10513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Elmer</dc:creator>
  <cp:lastModifiedBy>Elmer</cp:lastModifiedBy>
  <cp:revision>3</cp:revision>
  <cp:lastPrinted>2026-04-19T21:08:00Z</cp:lastPrinted>
  <dcterms:created xsi:type="dcterms:W3CDTF">2026-04-19T21:14:00Z</dcterms:created>
  <dcterms:modified xsi:type="dcterms:W3CDTF">2026-04-19T21:32:00Z</dcterms:modified>
</cp:coreProperties>
</file>