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28"/>
        </w:rPr>
        <w:t>INSTITUTO TECNOLÓGICO DE SONORA</w:t>
      </w:r>
    </w:p>
    <w:p>
      <w:pPr>
        <w:spacing w:before="0" w:after="40"/>
        <w:jc w:val="center"/>
      </w:pPr>
      <w:r>
        <w:rPr>
          <w:b w:val="0"/>
          <w:color w:val="595959"/>
          <w:sz w:val="22"/>
        </w:rPr>
        <w:t>Ingeniería en Software · Arquitectura de Software</w:t>
      </w:r>
    </w:p>
    <w:p>
      <w:pPr>
        <w:spacing w:before="320" w:after="40"/>
        <w:jc w:val="center"/>
      </w:pPr>
      <w:r>
        <w:rPr>
          <w:b/>
          <w:color w:val="1F3A5F"/>
          <w:sz w:val="40"/>
        </w:rPr>
        <w:t>Ejercicio 8. Proyecto integrador</w:t>
      </w:r>
    </w:p>
    <w:p>
      <w:pPr>
        <w:spacing w:before="0" w:after="40"/>
        <w:jc w:val="center"/>
      </w:pPr>
      <w:r>
        <w:rPr>
          <w:b w:val="0"/>
          <w:i/>
          <w:sz w:val="25"/>
        </w:rPr>
        <w:t>Sistema de gestión para una tienda de instrumentos musicales</w:t>
      </w:r>
    </w:p>
    <w:p>
      <w:pPr>
        <w:spacing w:before="240"/>
        <w:jc w:val="center"/>
        <w:pBdr>
          <w:bottom w:val="single" w:sz="8" w:space="6" w:color="1F3A5F"/>
        </w:pBdr>
      </w:pPr>
      <w:r>
        <w:rPr>
          <w:b/>
        </w:rPr>
        <w:t xml:space="preserve">Nombre del alumno: </w:t>
      </w:r>
      <w:r>
        <w:t>Jesús Elmer Cantúa Domínguez</w:t>
      </w:r>
    </w:p>
    <w:p>
      <w:pPr>
        <w:pStyle w:val="Heading1"/>
      </w:pPr>
      <w:r>
        <w:t>1. Justificación de las reglas de negocio</w:t>
      </w:r>
    </w:p>
    <w:p>
      <w:pPr>
        <w:jc w:val="both"/>
      </w:pPr>
      <w:r>
        <w:t xml:space="preserve">El sistema tiene dos vistas Swing sobre un mismo modelo: </w:t>
      </w:r>
      <w:r>
        <w:rPr>
          <w:b/>
        </w:rPr>
        <w:t>Almacén</w:t>
      </w:r>
      <w:r>
        <w:t xml:space="preserve">, que muestra el inventario y registra entradas de mercancía, y </w:t>
      </w:r>
      <w:r>
        <w:rPr>
          <w:b/>
        </w:rPr>
        <w:t>Mostrador</w:t>
      </w:r>
      <w:r>
        <w:t xml:space="preserve">, que arma pedidos y cobra. Las tres reglas viven en la clase </w:t>
      </w:r>
      <w:r>
        <w:rPr>
          <w:rFonts w:ascii="Consolas" w:hAnsi="Consolas"/>
          <w:sz w:val="19"/>
        </w:rPr>
        <w:t>modelo.Tienda</w:t>
      </w:r>
      <w:r>
        <w:t xml:space="preserve"> y en las entidades que ella coordina.</w:t>
      </w:r>
    </w:p>
    <w:p>
      <w:pPr>
        <w:jc w:val="both"/>
      </w:pPr>
      <w:r>
        <w:rPr>
          <w:b/>
        </w:rPr>
        <w:t>Regla 1. Compatibilidad de accesorios.</w:t>
      </w:r>
      <w:r>
        <w:t xml:space="preserve"> Si un pedido incluye un saxofón, toda boquilla y caña del pedido debe ser de su misma familia (alto, tenor…), y la venta se rechaza completa si una línea falla. </w:t>
      </w:r>
      <w:r>
        <w:rPr>
          <w:b/>
        </w:rPr>
        <w:t>Regla 2. Stock mínimo.</w:t>
      </w:r>
      <w:r>
        <w:t xml:space="preserve"> Cada </w:t>
      </w:r>
      <w:r>
        <w:rPr>
          <w:rFonts w:ascii="Consolas" w:hAnsi="Consolas"/>
          <w:sz w:val="19"/>
        </w:rPr>
        <w:t>TipoArticulo</w:t>
      </w:r>
      <w:r>
        <w:t xml:space="preserve"> define su umbral (cañas 20, boquillas 2, saxofón 1) y </w:t>
      </w:r>
      <w:r>
        <w:rPr>
          <w:rFonts w:ascii="Consolas" w:hAnsi="Consolas"/>
          <w:sz w:val="19"/>
        </w:rPr>
        <w:t>Articulo.requiereReabasto()</w:t>
      </w:r>
      <w:r>
        <w:t xml:space="preserve"> decide cuándo hay que reabastecer. </w:t>
      </w:r>
      <w:r>
        <w:rPr>
          <w:b/>
        </w:rPr>
        <w:t>Regla 3. Kit de inicio.</w:t>
      </w:r>
      <w:r>
        <w:t xml:space="preserve"> Por cada saxofón, una boquilla y hasta diez cañas de su familia llevan 15 % de descuento, calculado con </w:t>
      </w:r>
      <w:r>
        <w:rPr>
          <w:rFonts w:ascii="Consolas" w:hAnsi="Consolas"/>
          <w:sz w:val="19"/>
        </w:rPr>
        <w:t>BigDecimal</w:t>
      </w:r>
      <w:r>
        <w:t xml:space="preserve"> en </w:t>
      </w:r>
      <w:r>
        <w:rPr>
          <w:rFonts w:ascii="Consolas" w:hAnsi="Consolas"/>
          <w:sz w:val="19"/>
        </w:rPr>
        <w:t>Tienda.calcularTicket()</w:t>
      </w:r>
      <w:r>
        <w:t>.</w:t>
      </w:r>
    </w:p>
    <w:p>
      <w:pPr>
        <w:jc w:val="both"/>
      </w:pPr>
      <w:r>
        <w:t xml:space="preserve">Ninguna está en la vista porque las tres son conocimiento del negocio, no de la presentación. Si la compatibilidad se resolviera filtrando el combo del Mostrador, o el descuento se calculara en su tabla, cualquier canal nuevo (consola, web, importación de archivos) podría saltárselas o dar otro total. La vista sólo decide «cómo se ve» el resultado: el rojo de las alertas y el formato $12,999.00. Tampoco van en el controlador, cuyo trabajo es traducir eventos y texto en llamadas al modelo: si ahí viviera una regla, cada controlador tendría que repetirla y sólo podría probarse simulando pantallas. En el modelo, en cambio, se cumplen igual para ambas vistas, se prueban con JUnit sin abrir ventanas y, gracias al Observer, la alerta de la Regla 2 aparece en el Almacén en cuanto el Mostrador cobra. Además, </w:t>
      </w:r>
      <w:r>
        <w:rPr>
          <w:rFonts w:ascii="Consolas" w:hAnsi="Consolas"/>
          <w:sz w:val="19"/>
        </w:rPr>
        <w:t>cotizar()</w:t>
      </w:r>
      <w:r>
        <w:t xml:space="preserve"> y </w:t>
      </w:r>
      <w:r>
        <w:rPr>
          <w:rFonts w:ascii="Consolas" w:hAnsi="Consolas"/>
          <w:sz w:val="19"/>
        </w:rPr>
        <w:t>vender()</w:t>
      </w:r>
      <w:r>
        <w:t xml:space="preserve"> comparten el mismo cálculo, así que lo cotizado y lo cobrado no pueden diferir.</w:t>
      </w:r>
    </w:p>
    <w:p>
      <w:pPr>
        <w:pStyle w:val="Heading1"/>
      </w:pPr>
      <w:r>
        <w:t>2. Mapa de reglas y pruebas</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cantSplit w:val="true"/>
        </w:trPr>
        <w:tc>
          <w:tcPr>
            <w:tcW w:type="dxa" w:w="2211"/>
            <w:shd w:val="clear" w:color="auto" w:fill="1F3A5F"/>
          </w:tcPr>
          <w:p>
            <w:r/>
            <w:r>
              <w:rPr>
                <w:b/>
                <w:color w:val="FFFFFF"/>
                <w:sz w:val="20"/>
              </w:rPr>
              <w:t>Regla de negocio</w:t>
            </w:r>
          </w:p>
        </w:tc>
        <w:tc>
          <w:tcPr>
            <w:tcW w:type="dxa" w:w="3005"/>
            <w:shd w:val="clear" w:color="auto" w:fill="1F3A5F"/>
          </w:tcPr>
          <w:p>
            <w:r/>
            <w:r>
              <w:rPr>
                <w:b/>
                <w:color w:val="FFFFFF"/>
                <w:sz w:val="20"/>
              </w:rPr>
              <w:t>Clase(s) donde vive</w:t>
            </w:r>
          </w:p>
        </w:tc>
        <w:tc>
          <w:tcPr>
            <w:tcW w:type="dxa" w:w="2948"/>
            <w:shd w:val="clear" w:color="auto" w:fill="1F3A5F"/>
          </w:tcPr>
          <w:p>
            <w:r/>
            <w:r>
              <w:rPr>
                <w:b/>
                <w:color w:val="FFFFFF"/>
                <w:sz w:val="20"/>
              </w:rPr>
              <w:t>Clase de prueba (JUnit 5)</w:t>
            </w:r>
          </w:p>
        </w:tc>
        <w:tc>
          <w:tcPr>
            <w:tcW w:type="dxa" w:w="907"/>
            <w:shd w:val="clear" w:color="auto" w:fill="1F3A5F"/>
          </w:tcPr>
          <w:p>
            <w:r/>
            <w:r>
              <w:rPr>
                <w:b/>
                <w:color w:val="FFFFFF"/>
                <w:sz w:val="20"/>
              </w:rPr>
              <w:t>Pruebas</w:t>
            </w:r>
          </w:p>
        </w:tc>
      </w:tr>
      <w:tr>
        <w:trPr>
          <w:cantSplit w:val="true"/>
        </w:trPr>
        <w:tc>
          <w:tcPr>
            <w:tcW w:type="dxa" w:w="2211"/>
          </w:tcPr>
          <w:p>
            <w:r/>
            <w:r>
              <w:rPr>
                <w:sz w:val="19"/>
              </w:rPr>
              <w:t>R1. Compatibilidad de boquillas y cañas con el saxofón del pedido</w:t>
            </w:r>
          </w:p>
        </w:tc>
        <w:tc>
          <w:tcPr>
            <w:tcW w:type="dxa" w:w="3005"/>
          </w:tcPr>
          <w:p>
            <w:r/>
            <w:r>
              <w:rPr>
                <w:rFonts w:ascii="Consolas" w:hAnsi="Consolas"/>
                <w:sz w:val="16"/>
              </w:rPr>
              <w:t>Tienda.validarCompatibilidad()</w:t>
            </w:r>
            <w:r>
              <w:rPr>
                <w:sz w:val="19"/>
              </w:rPr>
              <w:t xml:space="preserve">, </w:t>
            </w:r>
            <w:r>
              <w:rPr>
                <w:rFonts w:ascii="Consolas" w:hAnsi="Consolas"/>
                <w:sz w:val="16"/>
              </w:rPr>
              <w:t>Articulo.esCompatibleCon()</w:t>
            </w:r>
            <w:r>
              <w:rPr>
                <w:sz w:val="19"/>
              </w:rPr>
              <w:t xml:space="preserve">, </w:t>
            </w:r>
            <w:r>
              <w:rPr>
                <w:rFonts w:ascii="Consolas" w:hAnsi="Consolas"/>
                <w:sz w:val="16"/>
              </w:rPr>
              <w:t>Familia</w:t>
            </w:r>
            <w:r>
              <w:rPr>
                <w:sz w:val="19"/>
              </w:rPr>
              <w:t xml:space="preserve">, </w:t>
            </w:r>
            <w:r>
              <w:rPr>
                <w:rFonts w:ascii="Consolas" w:hAnsi="Consolas"/>
                <w:sz w:val="16"/>
              </w:rPr>
              <w:t>AccesorioIncompatibleException</w:t>
            </w:r>
          </w:p>
        </w:tc>
        <w:tc>
          <w:tcPr>
            <w:tcW w:type="dxa" w:w="2948"/>
          </w:tcPr>
          <w:p>
            <w:r/>
            <w:r>
              <w:rPr>
                <w:rFonts w:ascii="Consolas" w:hAnsi="Consolas"/>
                <w:sz w:val="16"/>
              </w:rPr>
              <w:t>ReglaCompatibilidadTest</w:t>
            </w:r>
          </w:p>
        </w:tc>
        <w:tc>
          <w:tcPr>
            <w:tcW w:type="dxa" w:w="907"/>
          </w:tcPr>
          <w:p>
            <w:r/>
            <w:r>
              <w:rPr>
                <w:sz w:val="19"/>
              </w:rPr>
              <w:t>6</w:t>
            </w:r>
          </w:p>
        </w:tc>
      </w:tr>
      <w:tr>
        <w:trPr>
          <w:cantSplit w:val="true"/>
        </w:trPr>
        <w:tc>
          <w:tcPr>
            <w:tcW w:type="dxa" w:w="2211"/>
            <w:shd w:val="clear" w:color="auto" w:fill="F5F7FA"/>
          </w:tcPr>
          <w:p>
            <w:r/>
            <w:r>
              <w:rPr>
                <w:sz w:val="19"/>
              </w:rPr>
              <w:t>R2. Alerta de stock mínimo según el tipo de artículo</w:t>
            </w:r>
          </w:p>
        </w:tc>
        <w:tc>
          <w:tcPr>
            <w:tcW w:type="dxa" w:w="3005"/>
            <w:shd w:val="clear" w:color="auto" w:fill="F5F7FA"/>
          </w:tcPr>
          <w:p>
            <w:r/>
            <w:r>
              <w:rPr>
                <w:rFonts w:ascii="Consolas" w:hAnsi="Consolas"/>
                <w:sz w:val="16"/>
              </w:rPr>
              <w:t>TipoArticulo</w:t>
            </w:r>
            <w:r>
              <w:rPr>
                <w:sz w:val="19"/>
              </w:rPr>
              <w:t xml:space="preserve"> (umbral), </w:t>
            </w:r>
            <w:r>
              <w:rPr>
                <w:rFonts w:ascii="Consolas" w:hAnsi="Consolas"/>
                <w:sz w:val="16"/>
              </w:rPr>
              <w:t>Articulo.requiereReabasto()</w:t>
            </w:r>
            <w:r>
              <w:rPr>
                <w:sz w:val="19"/>
              </w:rPr>
              <w:t xml:space="preserve">, </w:t>
            </w:r>
            <w:r>
              <w:rPr>
                <w:rFonts w:ascii="Consolas" w:hAnsi="Consolas"/>
                <w:sz w:val="16"/>
              </w:rPr>
              <w:t>Tienda.getAlertasReabasto()</w:t>
            </w:r>
          </w:p>
        </w:tc>
        <w:tc>
          <w:tcPr>
            <w:tcW w:type="dxa" w:w="2948"/>
            <w:shd w:val="clear" w:color="auto" w:fill="F5F7FA"/>
          </w:tcPr>
          <w:p>
            <w:r/>
            <w:r>
              <w:rPr>
                <w:rFonts w:ascii="Consolas" w:hAnsi="Consolas"/>
                <w:sz w:val="16"/>
              </w:rPr>
              <w:t>ReglaReabastecimientoTest</w:t>
            </w:r>
          </w:p>
        </w:tc>
        <w:tc>
          <w:tcPr>
            <w:tcW w:type="dxa" w:w="907"/>
            <w:shd w:val="clear" w:color="auto" w:fill="F5F7FA"/>
          </w:tcPr>
          <w:p>
            <w:r/>
            <w:r>
              <w:rPr>
                <w:sz w:val="19"/>
              </w:rPr>
              <w:t>6</w:t>
            </w:r>
          </w:p>
        </w:tc>
      </w:tr>
      <w:tr>
        <w:trPr>
          <w:cantSplit w:val="true"/>
        </w:trPr>
        <w:tc>
          <w:tcPr>
            <w:tcW w:type="dxa" w:w="2211"/>
          </w:tcPr>
          <w:p>
            <w:r/>
            <w:r>
              <w:rPr>
                <w:sz w:val="19"/>
              </w:rPr>
              <w:t>R3. Descuento de kit de inicio (15 %)</w:t>
            </w:r>
          </w:p>
        </w:tc>
        <w:tc>
          <w:tcPr>
            <w:tcW w:type="dxa" w:w="3005"/>
          </w:tcPr>
          <w:p>
            <w:r/>
            <w:r>
              <w:rPr>
                <w:rFonts w:ascii="Consolas" w:hAnsi="Consolas"/>
                <w:sz w:val="16"/>
              </w:rPr>
              <w:t>Tienda.calcularTicket()</w:t>
            </w:r>
            <w:r>
              <w:rPr>
                <w:sz w:val="19"/>
              </w:rPr>
              <w:t xml:space="preserve">, </w:t>
            </w:r>
            <w:r>
              <w:rPr>
                <w:rFonts w:ascii="Consolas" w:hAnsi="Consolas"/>
                <w:sz w:val="16"/>
              </w:rPr>
              <w:t>Ticket</w:t>
            </w:r>
            <w:r>
              <w:rPr>
                <w:sz w:val="19"/>
              </w:rPr>
              <w:t xml:space="preserve">, </w:t>
            </w:r>
            <w:r>
              <w:rPr>
                <w:rFonts w:ascii="Consolas" w:hAnsi="Consolas"/>
                <w:sz w:val="16"/>
              </w:rPr>
              <w:t>RenglonTicket</w:t>
            </w:r>
          </w:p>
        </w:tc>
        <w:tc>
          <w:tcPr>
            <w:tcW w:type="dxa" w:w="2948"/>
          </w:tcPr>
          <w:p>
            <w:r/>
            <w:r>
              <w:rPr>
                <w:rFonts w:ascii="Consolas" w:hAnsi="Consolas"/>
                <w:sz w:val="16"/>
              </w:rPr>
              <w:t>ReglaKitDeInicioTest</w:t>
            </w:r>
          </w:p>
        </w:tc>
        <w:tc>
          <w:tcPr>
            <w:tcW w:type="dxa" w:w="907"/>
          </w:tcPr>
          <w:p>
            <w:r/>
            <w:r>
              <w:rPr>
                <w:sz w:val="19"/>
              </w:rPr>
              <w:t>7</w:t>
            </w:r>
          </w:p>
        </w:tc>
      </w:tr>
      <w:tr>
        <w:trPr>
          <w:cantSplit w:val="true"/>
        </w:trPr>
        <w:tc>
          <w:tcPr>
            <w:tcW w:type="dxa" w:w="2211"/>
            <w:shd w:val="clear" w:color="auto" w:fill="F5F7FA"/>
          </w:tcPr>
          <w:p>
            <w:r/>
            <w:r>
              <w:rPr>
                <w:sz w:val="19"/>
              </w:rPr>
              <w:t>Validaciones generales (stock suficiente, datos válidos, venta atómica)</w:t>
            </w:r>
          </w:p>
        </w:tc>
        <w:tc>
          <w:tcPr>
            <w:tcW w:type="dxa" w:w="3005"/>
            <w:shd w:val="clear" w:color="auto" w:fill="F5F7FA"/>
          </w:tcPr>
          <w:p>
            <w:r/>
            <w:r>
              <w:rPr>
                <w:rFonts w:ascii="Consolas" w:hAnsi="Consolas"/>
                <w:sz w:val="16"/>
              </w:rPr>
              <w:t>Tienda</w:t>
            </w:r>
            <w:r>
              <w:rPr>
                <w:sz w:val="19"/>
              </w:rPr>
              <w:t xml:space="preserve">, </w:t>
            </w:r>
            <w:r>
              <w:rPr>
                <w:rFonts w:ascii="Consolas" w:hAnsi="Consolas"/>
                <w:sz w:val="16"/>
              </w:rPr>
              <w:t>StockInsuficienteException</w:t>
            </w:r>
            <w:r>
              <w:rPr>
                <w:sz w:val="19"/>
              </w:rPr>
              <w:t xml:space="preserve">, </w:t>
            </w:r>
            <w:r>
              <w:rPr>
                <w:rFonts w:ascii="Consolas" w:hAnsi="Consolas"/>
                <w:sz w:val="16"/>
              </w:rPr>
              <w:t>DatosInvalidosException</w:t>
            </w:r>
          </w:p>
        </w:tc>
        <w:tc>
          <w:tcPr>
            <w:tcW w:type="dxa" w:w="2948"/>
            <w:shd w:val="clear" w:color="auto" w:fill="F5F7FA"/>
          </w:tcPr>
          <w:p>
            <w:r/>
            <w:r>
              <w:rPr>
                <w:rFonts w:ascii="Consolas" w:hAnsi="Consolas"/>
                <w:sz w:val="16"/>
              </w:rPr>
              <w:t>TiendaTest</w:t>
            </w:r>
          </w:p>
        </w:tc>
        <w:tc>
          <w:tcPr>
            <w:tcW w:type="dxa" w:w="907"/>
            <w:shd w:val="clear" w:color="auto" w:fill="F5F7FA"/>
          </w:tcPr>
          <w:p>
            <w:r/>
            <w:r>
              <w:rPr>
                <w:sz w:val="19"/>
              </w:rPr>
              <w:t>5</w:t>
            </w:r>
          </w:p>
        </w:tc>
      </w:tr>
      <w:tr>
        <w:trPr>
          <w:cantSplit w:val="true"/>
        </w:trPr>
        <w:tc>
          <w:tcPr>
            <w:tcW w:type="dxa" w:w="2211"/>
          </w:tcPr>
          <w:p>
            <w:r/>
            <w:r>
              <w:rPr>
                <w:sz w:val="19"/>
              </w:rPr>
              <w:t>Persistencia intercambiable (DAO en memoria y CSV)</w:t>
            </w:r>
          </w:p>
        </w:tc>
        <w:tc>
          <w:tcPr>
            <w:tcW w:type="dxa" w:w="3005"/>
          </w:tcPr>
          <w:p>
            <w:r/>
            <w:r>
              <w:rPr>
                <w:rFonts w:ascii="Consolas" w:hAnsi="Consolas"/>
                <w:sz w:val="16"/>
              </w:rPr>
              <w:t>ArticuloDAO</w:t>
            </w:r>
            <w:r>
              <w:rPr>
                <w:sz w:val="19"/>
              </w:rPr>
              <w:t xml:space="preserve">, </w:t>
            </w:r>
            <w:r>
              <w:rPr>
                <w:rFonts w:ascii="Consolas" w:hAnsi="Consolas"/>
                <w:sz w:val="16"/>
              </w:rPr>
              <w:t>ArticuloDAOMemoria</w:t>
            </w:r>
            <w:r>
              <w:rPr>
                <w:sz w:val="19"/>
              </w:rPr>
              <w:t xml:space="preserve">, </w:t>
            </w:r>
            <w:r>
              <w:rPr>
                <w:rFonts w:ascii="Consolas" w:hAnsi="Consolas"/>
                <w:sz w:val="16"/>
              </w:rPr>
              <w:t>ArticuloDAOArchivo</w:t>
            </w:r>
          </w:p>
        </w:tc>
        <w:tc>
          <w:tcPr>
            <w:tcW w:type="dxa" w:w="2948"/>
          </w:tcPr>
          <w:p>
            <w:r/>
            <w:r>
              <w:rPr>
                <w:rFonts w:ascii="Consolas" w:hAnsi="Consolas"/>
                <w:sz w:val="16"/>
              </w:rPr>
              <w:t>ArticuloDAOTest</w:t>
            </w:r>
          </w:p>
        </w:tc>
        <w:tc>
          <w:tcPr>
            <w:tcW w:type="dxa" w:w="907"/>
          </w:tcPr>
          <w:p>
            <w:r/>
            <w:r>
              <w:rPr>
                <w:sz w:val="19"/>
              </w:rPr>
              <w:t>5</w:t>
            </w:r>
          </w:p>
        </w:tc>
      </w:tr>
      <w:tr>
        <w:trPr>
          <w:cantSplit w:val="true"/>
        </w:trPr>
        <w:tc>
          <w:tcPr>
            <w:tcW w:type="dxa" w:w="2211"/>
            <w:shd w:val="clear" w:color="auto" w:fill="F5F7FA"/>
          </w:tcPr>
          <w:p>
            <w:r/>
            <w:r>
              <w:rPr>
                <w:sz w:val="19"/>
              </w:rPr>
              <w:t>Dos vistas sincronizadas (Observer)</w:t>
            </w:r>
          </w:p>
        </w:tc>
        <w:tc>
          <w:tcPr>
            <w:tcW w:type="dxa" w:w="3005"/>
            <w:shd w:val="clear" w:color="auto" w:fill="F5F7FA"/>
          </w:tcPr>
          <w:p>
            <w:r/>
            <w:r>
              <w:rPr>
                <w:rFonts w:ascii="Consolas" w:hAnsi="Consolas"/>
                <w:sz w:val="16"/>
              </w:rPr>
              <w:t>ObservadorTienda</w:t>
            </w:r>
            <w:r>
              <w:rPr>
                <w:sz w:val="19"/>
              </w:rPr>
              <w:t xml:space="preserve">, </w:t>
            </w:r>
            <w:r>
              <w:rPr>
                <w:rFonts w:ascii="Consolas" w:hAnsi="Consolas"/>
                <w:sz w:val="16"/>
              </w:rPr>
              <w:t>ControladorAlmacen</w:t>
            </w:r>
            <w:r>
              <w:rPr>
                <w:sz w:val="19"/>
              </w:rPr>
              <w:t xml:space="preserve">, </w:t>
            </w:r>
            <w:r>
              <w:rPr>
                <w:rFonts w:ascii="Consolas" w:hAnsi="Consolas"/>
                <w:sz w:val="16"/>
              </w:rPr>
              <w:t>ControladorMostrador</w:t>
            </w:r>
          </w:p>
        </w:tc>
        <w:tc>
          <w:tcPr>
            <w:tcW w:type="dxa" w:w="2948"/>
            <w:shd w:val="clear" w:color="auto" w:fill="F5F7FA"/>
          </w:tcPr>
          <w:p>
            <w:r/>
            <w:r>
              <w:rPr>
                <w:rFonts w:ascii="Consolas" w:hAnsi="Consolas"/>
                <w:sz w:val="16"/>
              </w:rPr>
              <w:t>DosVistasSincronizadasTest</w:t>
            </w:r>
          </w:p>
        </w:tc>
        <w:tc>
          <w:tcPr>
            <w:tcW w:type="dxa" w:w="907"/>
            <w:shd w:val="clear" w:color="auto" w:fill="F5F7FA"/>
          </w:tcPr>
          <w:p>
            <w:r/>
            <w:r>
              <w:rPr>
                <w:sz w:val="19"/>
              </w:rPr>
              <w:t>4</w:t>
            </w:r>
          </w:p>
        </w:tc>
      </w:tr>
      <w:tr>
        <w:trPr>
          <w:cantSplit w:val="true"/>
        </w:trPr>
        <w:tc>
          <w:tcPr>
            <w:tcW w:type="dxa" w:w="2211"/>
          </w:tcPr>
          <w:p>
            <w:r/>
            <w:r>
              <w:rPr>
                <w:b/>
                <w:sz w:val="19"/>
              </w:rPr>
              <w:t>Total</w:t>
            </w:r>
          </w:p>
        </w:tc>
        <w:tc>
          <w:tcPr>
            <w:tcW w:type="dxa" w:w="3005"/>
          </w:tcPr>
          <w:p>
            <w:r/>
          </w:p>
        </w:tc>
        <w:tc>
          <w:tcPr>
            <w:tcW w:type="dxa" w:w="2948"/>
          </w:tcPr>
          <w:p>
            <w:r/>
          </w:p>
        </w:tc>
        <w:tc>
          <w:tcPr>
            <w:tcW w:type="dxa" w:w="907"/>
          </w:tcPr>
          <w:p>
            <w:r/>
            <w:r>
              <w:rPr>
                <w:b/>
                <w:sz w:val="19"/>
              </w:rPr>
              <w:t>33</w:t>
            </w:r>
          </w:p>
        </w:tc>
      </w:tr>
    </w:tbl>
    <w:p>
      <w:pPr>
        <w:spacing w:before="80"/>
      </w:pPr>
      <w:r>
        <w:rPr>
          <w:color w:val="595959"/>
          <w:sz w:val="19"/>
        </w:rPr>
        <w:t xml:space="preserve">Las 19 pruebas de las tres reglas corren sólo contra el modelo, sin abrir ventanas. Se ejecutan con </w:t>
      </w:r>
      <w:r>
        <w:rPr>
          <w:rFonts w:ascii="Consolas" w:hAnsi="Consolas"/>
          <w:sz w:val="16"/>
        </w:rPr>
        <w:t>probar.bat</w:t>
      </w:r>
      <w:r>
        <w:rPr>
          <w:color w:val="595959"/>
          <w:sz w:val="19"/>
        </w:rPr>
        <w:t>: 33 pruebas, 33 exitosas.</w:t>
      </w:r>
    </w:p>
    <w:p>
      <w:pPr>
        <w:pStyle w:val="Heading1"/>
      </w:pPr>
      <w:r>
        <w:t>3. Evidencias y diagramas</w:t>
      </w:r>
    </w:p>
    <w:p>
      <w:pPr>
        <w:pStyle w:val="Heading2"/>
      </w:pPr>
      <w:r>
        <w:t>3.1 Ejecución de las pruebas</w:t>
      </w:r>
    </w:p>
    <w:tbl>
      <w:tblPr>
        <w:tblStyle w:val="TableGrid"/>
        <w:tblW w:type="auto" w:w="0"/>
        <w:jc w:val="center"/>
        <w:tblLook w:firstColumn="1" w:firstRow="1" w:lastColumn="0" w:lastRow="0" w:noHBand="0" w:noVBand="1" w:val="04A0"/>
      </w:tblPr>
      <w:tblGrid>
        <w:gridCol w:w="9406"/>
      </w:tblGrid>
      <w:tr>
        <w:trPr>
          <w:trHeight w:val="3685" w:hRule="atLeast"/>
        </w:trPr>
        <w:tc>
          <w:tcPr>
            <w:tcW w:type="dxa" w:w="9071"/>
            <w:shd w:val="clear" w:color="auto" w:fill="F7F7F7"/>
            <w:vAlign w:val="center"/>
          </w:tcPr>
          <w:p>
            <w:pPr>
              <w:jc w:val="center"/>
            </w:pPr>
            <w:r>
              <w:rPr>
                <w:i/>
                <w:color w:val="595959"/>
                <w:sz w:val="22"/>
              </w:rPr>
              <w:t>[Insertar captura de pruebas aquí]</w:t>
            </w:r>
          </w:p>
        </w:tc>
      </w:tr>
    </w:tbl>
    <w:p/>
    <w:p>
      <w:pPr>
        <w:pStyle w:val="Heading2"/>
      </w:pPr>
      <w:r>
        <w:t>3.2 Diagramas UML (paquetes, clases por paquete y secuencia)</w:t>
      </w:r>
    </w:p>
    <w:tbl>
      <w:tblPr>
        <w:tblStyle w:val="TableGrid"/>
        <w:tblW w:type="auto" w:w="0"/>
        <w:jc w:val="center"/>
        <w:tblLook w:firstColumn="1" w:firstRow="1" w:lastColumn="0" w:lastRow="0" w:noHBand="0" w:noVBand="1" w:val="04A0"/>
      </w:tblPr>
      <w:tblGrid>
        <w:gridCol w:w="9406"/>
      </w:tblGrid>
      <w:tr>
        <w:trPr>
          <w:trHeight w:val="4819" w:hRule="atLeast"/>
        </w:trPr>
        <w:tc>
          <w:tcPr>
            <w:tcW w:type="dxa" w:w="9071"/>
            <w:shd w:val="clear" w:color="auto" w:fill="F7F7F7"/>
            <w:vAlign w:val="center"/>
          </w:tcPr>
          <w:p>
            <w:pPr>
              <w:jc w:val="center"/>
            </w:pPr>
            <w:r>
              <w:rPr>
                <w:i/>
                <w:color w:val="595959"/>
                <w:sz w:val="22"/>
              </w:rPr>
              <w:t>[Insertar captura de diagramas aquí]</w:t>
            </w:r>
          </w:p>
        </w:tc>
      </w:tr>
    </w:tbl>
    <w:p>
      <w:pPr>
        <w:pStyle w:val="Heading1"/>
      </w:pPr>
      <w:r>
        <w:t>4. Comparación arquitectónica: MVC, MVP y MVVM</w:t>
      </w:r>
    </w:p>
    <w:p>
      <w:pPr>
        <w:jc w:val="both"/>
      </w:pPr>
      <w:r>
        <w:t>Los tres patrones separan la presentación del modelo; la diferencia está en quién recibe la entrada del usuario, cómo se entera la vista de los cambios y cuánto sabe cada pieza de las demás. La tabla los compara aplicados a interfaces gráficas de escritorio y móviles, y en la última fila los aterriza en esta tienda.</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cantSplit w:val="true"/>
        </w:trPr>
        <w:tc>
          <w:tcPr>
            <w:tcW w:type="dxa" w:w="1474"/>
            <w:shd w:val="clear" w:color="auto" w:fill="1F3A5F"/>
          </w:tcPr>
          <w:p>
            <w:r/>
            <w:r>
              <w:rPr>
                <w:b/>
                <w:color w:val="FFFFFF"/>
                <w:sz w:val="18"/>
              </w:rPr>
              <w:t>Criterio</w:t>
            </w:r>
          </w:p>
        </w:tc>
        <w:tc>
          <w:tcPr>
            <w:tcW w:type="dxa" w:w="2551"/>
            <w:shd w:val="clear" w:color="auto" w:fill="1F3A5F"/>
          </w:tcPr>
          <w:p>
            <w:r/>
            <w:r>
              <w:rPr>
                <w:b/>
                <w:color w:val="FFFFFF"/>
                <w:sz w:val="18"/>
              </w:rPr>
              <w:t>MVC (Modelo-Vista-Controlador)</w:t>
            </w:r>
          </w:p>
        </w:tc>
        <w:tc>
          <w:tcPr>
            <w:tcW w:type="dxa" w:w="2551"/>
            <w:shd w:val="clear" w:color="auto" w:fill="1F3A5F"/>
          </w:tcPr>
          <w:p>
            <w:r/>
            <w:r>
              <w:rPr>
                <w:b/>
                <w:color w:val="FFFFFF"/>
                <w:sz w:val="18"/>
              </w:rPr>
              <w:t>MVP (Modelo-Vista-Presentador)</w:t>
            </w:r>
          </w:p>
        </w:tc>
        <w:tc>
          <w:tcPr>
            <w:tcW w:type="dxa" w:w="2494"/>
            <w:shd w:val="clear" w:color="auto" w:fill="1F3A5F"/>
          </w:tcPr>
          <w:p>
            <w:r/>
            <w:r>
              <w:rPr>
                <w:b/>
                <w:color w:val="FFFFFF"/>
                <w:sz w:val="18"/>
              </w:rPr>
              <w:t>MVVM (Modelo-Vista-VistaModelo)</w:t>
            </w:r>
          </w:p>
        </w:tc>
      </w:tr>
      <w:tr>
        <w:trPr>
          <w:cantSplit w:val="true"/>
        </w:trPr>
        <w:tc>
          <w:tcPr>
            <w:tcW w:type="dxa" w:w="1474"/>
            <w:shd w:val="clear" w:color="auto" w:fill="E8EDF3"/>
          </w:tcPr>
          <w:p>
            <w:r>
              <w:rPr>
                <w:b/>
              </w:rPr>
            </w:r>
            <w:r>
              <w:rPr>
                <w:sz w:val="17"/>
              </w:rPr>
              <w:t>Origen</w:t>
            </w:r>
          </w:p>
        </w:tc>
        <w:tc>
          <w:tcPr>
            <w:tcW w:type="dxa" w:w="2551"/>
          </w:tcPr>
          <w:p>
            <w:r/>
            <w:r>
              <w:rPr>
                <w:sz w:val="17"/>
              </w:rPr>
              <w:t>Smalltalk-80 (Reenskaug, 1979).</w:t>
            </w:r>
          </w:p>
        </w:tc>
        <w:tc>
          <w:tcPr>
            <w:tcW w:type="dxa" w:w="2551"/>
          </w:tcPr>
          <w:p>
            <w:r/>
            <w:r>
              <w:rPr>
                <w:sz w:val="17"/>
              </w:rPr>
              <w:t>Taligent / IBM (década de 1990), popularizado por Fowler en Windows Forms.</w:t>
            </w:r>
          </w:p>
        </w:tc>
        <w:tc>
          <w:tcPr>
            <w:tcW w:type="dxa" w:w="2494"/>
          </w:tcPr>
          <w:p>
            <w:r/>
            <w:r>
              <w:rPr>
                <w:sz w:val="17"/>
              </w:rPr>
              <w:t>Microsoft (Gossman, 2005) para WPF y Silverlight.</w:t>
            </w:r>
          </w:p>
        </w:tc>
      </w:tr>
      <w:tr>
        <w:trPr>
          <w:cantSplit w:val="true"/>
        </w:trPr>
        <w:tc>
          <w:tcPr>
            <w:tcW w:type="dxa" w:w="1474"/>
            <w:shd w:val="clear" w:color="auto" w:fill="E8EDF3"/>
          </w:tcPr>
          <w:p>
            <w:r>
              <w:rPr>
                <w:b/>
              </w:rPr>
            </w:r>
            <w:r>
              <w:rPr>
                <w:sz w:val="17"/>
              </w:rPr>
              <w:t>Quién recibe la entrada</w:t>
            </w:r>
          </w:p>
        </w:tc>
        <w:tc>
          <w:tcPr>
            <w:tcW w:type="dxa" w:w="2551"/>
            <w:shd w:val="clear" w:color="auto" w:fill="F5F7FA"/>
          </w:tcPr>
          <w:p>
            <w:r/>
            <w:r>
              <w:rPr>
                <w:sz w:val="17"/>
              </w:rPr>
              <w:t>El controlador recibe los eventos de la vista y decide qué hacer.</w:t>
            </w:r>
          </w:p>
        </w:tc>
        <w:tc>
          <w:tcPr>
            <w:tcW w:type="dxa" w:w="2551"/>
            <w:shd w:val="clear" w:color="auto" w:fill="F5F7FA"/>
          </w:tcPr>
          <w:p>
            <w:r/>
            <w:r>
              <w:rPr>
                <w:sz w:val="17"/>
              </w:rPr>
              <w:t>La vista recibe el evento y lo reenvía de inmediato al presentador.</w:t>
            </w:r>
          </w:p>
        </w:tc>
        <w:tc>
          <w:tcPr>
            <w:tcW w:type="dxa" w:w="2494"/>
            <w:shd w:val="clear" w:color="auto" w:fill="F5F7FA"/>
          </w:tcPr>
          <w:p>
            <w:r/>
            <w:r>
              <w:rPr>
                <w:sz w:val="17"/>
              </w:rPr>
              <w:t>La vista enlaza sus controles a comandos y propiedades del ViewModel.</w:t>
            </w:r>
          </w:p>
        </w:tc>
      </w:tr>
      <w:tr>
        <w:trPr>
          <w:cantSplit w:val="true"/>
        </w:trPr>
        <w:tc>
          <w:tcPr>
            <w:tcW w:type="dxa" w:w="1474"/>
            <w:shd w:val="clear" w:color="auto" w:fill="E8EDF3"/>
          </w:tcPr>
          <w:p>
            <w:r>
              <w:rPr>
                <w:b/>
              </w:rPr>
            </w:r>
            <w:r>
              <w:rPr>
                <w:sz w:val="17"/>
              </w:rPr>
              <w:t>Papel del intermediario</w:t>
            </w:r>
          </w:p>
        </w:tc>
        <w:tc>
          <w:tcPr>
            <w:tcW w:type="dxa" w:w="2551"/>
          </w:tcPr>
          <w:p>
            <w:r/>
            <w:r>
              <w:rPr>
                <w:sz w:val="17"/>
              </w:rPr>
              <w:t>Coordina: traduce eventos en llamadas al modelo y elige qué mostrar.</w:t>
            </w:r>
          </w:p>
        </w:tc>
        <w:tc>
          <w:tcPr>
            <w:tcW w:type="dxa" w:w="2551"/>
          </w:tcPr>
          <w:p>
            <w:r/>
            <w:r>
              <w:rPr>
                <w:sz w:val="17"/>
              </w:rPr>
              <w:t>Contiene toda la lógica de presentación y le dice a la vista exactamente qué pintar.</w:t>
            </w:r>
          </w:p>
        </w:tc>
        <w:tc>
          <w:tcPr>
            <w:tcW w:type="dxa" w:w="2494"/>
          </w:tcPr>
          <w:p>
            <w:r/>
            <w:r>
              <w:rPr>
                <w:sz w:val="17"/>
              </w:rPr>
              <w:t>Expone el estado de la pantalla ya preparado (propiedades y comandos) sin conocer a la vista.</w:t>
            </w:r>
          </w:p>
        </w:tc>
      </w:tr>
      <w:tr>
        <w:trPr>
          <w:cantSplit w:val="true"/>
        </w:trPr>
        <w:tc>
          <w:tcPr>
            <w:tcW w:type="dxa" w:w="1474"/>
            <w:shd w:val="clear" w:color="auto" w:fill="E8EDF3"/>
          </w:tcPr>
          <w:p>
            <w:r>
              <w:rPr>
                <w:b/>
              </w:rPr>
            </w:r>
            <w:r>
              <w:rPr>
                <w:sz w:val="17"/>
              </w:rPr>
              <w:t>Relación vista-modelo</w:t>
            </w:r>
          </w:p>
        </w:tc>
        <w:tc>
          <w:tcPr>
            <w:tcW w:type="dxa" w:w="2551"/>
            <w:shd w:val="clear" w:color="auto" w:fill="F5F7FA"/>
          </w:tcPr>
          <w:p>
            <w:r/>
            <w:r>
              <w:rPr>
                <w:sz w:val="17"/>
              </w:rPr>
              <w:t>La vista puede leer el modelo y observarlo directamente.</w:t>
            </w:r>
          </w:p>
        </w:tc>
        <w:tc>
          <w:tcPr>
            <w:tcW w:type="dxa" w:w="2551"/>
            <w:shd w:val="clear" w:color="auto" w:fill="F5F7FA"/>
          </w:tcPr>
          <w:p>
            <w:r/>
            <w:r>
              <w:rPr>
                <w:sz w:val="17"/>
              </w:rPr>
              <w:t>Ninguna: la vista sólo habla con el presentador.</w:t>
            </w:r>
          </w:p>
        </w:tc>
        <w:tc>
          <w:tcPr>
            <w:tcW w:type="dxa" w:w="2494"/>
            <w:shd w:val="clear" w:color="auto" w:fill="F5F7FA"/>
          </w:tcPr>
          <w:p>
            <w:r/>
            <w:r>
              <w:rPr>
                <w:sz w:val="17"/>
              </w:rPr>
              <w:t>Ninguna: la vista sólo conoce al ViewModel.</w:t>
            </w:r>
          </w:p>
        </w:tc>
      </w:tr>
      <w:tr>
        <w:trPr>
          <w:cantSplit w:val="true"/>
        </w:trPr>
        <w:tc>
          <w:tcPr>
            <w:tcW w:type="dxa" w:w="1474"/>
            <w:shd w:val="clear" w:color="auto" w:fill="E8EDF3"/>
          </w:tcPr>
          <w:p>
            <w:r>
              <w:rPr>
                <w:b/>
              </w:rPr>
            </w:r>
            <w:r>
              <w:rPr>
                <w:sz w:val="17"/>
              </w:rPr>
              <w:t>Cómo se actualiza la vista</w:t>
            </w:r>
          </w:p>
        </w:tc>
        <w:tc>
          <w:tcPr>
            <w:tcW w:type="dxa" w:w="2551"/>
          </w:tcPr>
          <w:p>
            <w:r/>
            <w:r>
              <w:rPr>
                <w:sz w:val="17"/>
              </w:rPr>
              <w:t>Observer: el modelo notifica y la vista (o su controlador) se refresca.</w:t>
            </w:r>
          </w:p>
        </w:tc>
        <w:tc>
          <w:tcPr>
            <w:tcW w:type="dxa" w:w="2551"/>
          </w:tcPr>
          <w:p>
            <w:r/>
            <w:r>
              <w:rPr>
                <w:sz w:val="17"/>
              </w:rPr>
              <w:t>El presentador llama métodos de la interfaz de la vista (vista pasiva).</w:t>
            </w:r>
          </w:p>
        </w:tc>
        <w:tc>
          <w:tcPr>
            <w:tcW w:type="dxa" w:w="2494"/>
          </w:tcPr>
          <w:p>
            <w:r/>
            <w:r>
              <w:rPr>
                <w:sz w:val="17"/>
              </w:rPr>
              <w:t>Data binding automático: al cambiar una propiedad del ViewModel la vista se repinta sola.</w:t>
            </w:r>
          </w:p>
        </w:tc>
      </w:tr>
      <w:tr>
        <w:trPr>
          <w:cantSplit w:val="true"/>
        </w:trPr>
        <w:tc>
          <w:tcPr>
            <w:tcW w:type="dxa" w:w="1474"/>
            <w:shd w:val="clear" w:color="auto" w:fill="E8EDF3"/>
          </w:tcPr>
          <w:p>
            <w:r>
              <w:rPr>
                <w:b/>
              </w:rPr>
            </w:r>
            <w:r>
              <w:rPr>
                <w:sz w:val="17"/>
              </w:rPr>
              <w:t>Dependencias</w:t>
            </w:r>
          </w:p>
        </w:tc>
        <w:tc>
          <w:tcPr>
            <w:tcW w:type="dxa" w:w="2551"/>
            <w:shd w:val="clear" w:color="auto" w:fill="F5F7FA"/>
          </w:tcPr>
          <w:p>
            <w:r/>
            <w:r>
              <w:rPr>
                <w:sz w:val="17"/>
              </w:rPr>
              <w:t>Vista y controlador dependen del modelo; el modelo no conoce a nadie.</w:t>
            </w:r>
          </w:p>
        </w:tc>
        <w:tc>
          <w:tcPr>
            <w:tcW w:type="dxa" w:w="2551"/>
            <w:shd w:val="clear" w:color="auto" w:fill="F5F7FA"/>
          </w:tcPr>
          <w:p>
            <w:r/>
            <w:r>
              <w:rPr>
                <w:sz w:val="17"/>
              </w:rPr>
              <w:t>Presentador ↔ interfaz de vista (1 a 1); el presentador depende del modelo.</w:t>
            </w:r>
          </w:p>
        </w:tc>
        <w:tc>
          <w:tcPr>
            <w:tcW w:type="dxa" w:w="2494"/>
            <w:shd w:val="clear" w:color="auto" w:fill="F5F7FA"/>
          </w:tcPr>
          <w:p>
            <w:r/>
            <w:r>
              <w:rPr>
                <w:sz w:val="17"/>
              </w:rPr>
              <w:t>Vista → ViewModel → Modelo; el ViewModel ignora a la vista.</w:t>
            </w:r>
          </w:p>
        </w:tc>
      </w:tr>
      <w:tr>
        <w:trPr>
          <w:cantSplit w:val="true"/>
        </w:trPr>
        <w:tc>
          <w:tcPr>
            <w:tcW w:type="dxa" w:w="1474"/>
            <w:shd w:val="clear" w:color="auto" w:fill="E8EDF3"/>
          </w:tcPr>
          <w:p>
            <w:r>
              <w:rPr>
                <w:b/>
              </w:rPr>
            </w:r>
            <w:r>
              <w:rPr>
                <w:sz w:val="17"/>
              </w:rPr>
              <w:t>Facilidad de prueba</w:t>
            </w:r>
          </w:p>
        </w:tc>
        <w:tc>
          <w:tcPr>
            <w:tcW w:type="dxa" w:w="2551"/>
          </w:tcPr>
          <w:p>
            <w:r/>
            <w:r>
              <w:rPr>
                <w:sz w:val="17"/>
              </w:rPr>
              <w:t>El modelo se prueba aislado; el controlador, con vistas falsas.</w:t>
            </w:r>
          </w:p>
        </w:tc>
        <w:tc>
          <w:tcPr>
            <w:tcW w:type="dxa" w:w="2551"/>
          </w:tcPr>
          <w:p>
            <w:r/>
            <w:r>
              <w:rPr>
                <w:sz w:val="17"/>
              </w:rPr>
              <w:t>Muy alta: el presentador se prueba con un doble de la interfaz de vista.</w:t>
            </w:r>
          </w:p>
        </w:tc>
        <w:tc>
          <w:tcPr>
            <w:tcW w:type="dxa" w:w="2494"/>
          </w:tcPr>
          <w:p>
            <w:r/>
            <w:r>
              <w:rPr>
                <w:sz w:val="17"/>
              </w:rPr>
              <w:t>Muy alta: el ViewModel es una clase común sin referencias a la interfaz.</w:t>
            </w:r>
          </w:p>
        </w:tc>
      </w:tr>
      <w:tr>
        <w:trPr>
          <w:cantSplit w:val="true"/>
        </w:trPr>
        <w:tc>
          <w:tcPr>
            <w:tcW w:type="dxa" w:w="1474"/>
            <w:shd w:val="clear" w:color="auto" w:fill="E8EDF3"/>
          </w:tcPr>
          <w:p>
            <w:r>
              <w:rPr>
                <w:b/>
              </w:rPr>
            </w:r>
            <w:r>
              <w:rPr>
                <w:sz w:val="17"/>
              </w:rPr>
              <w:t>Código «pegamento»</w:t>
            </w:r>
          </w:p>
        </w:tc>
        <w:tc>
          <w:tcPr>
            <w:tcW w:type="dxa" w:w="2551"/>
            <w:shd w:val="clear" w:color="auto" w:fill="F5F7FA"/>
          </w:tcPr>
          <w:p>
            <w:r/>
            <w:r>
              <w:rPr>
                <w:sz w:val="17"/>
              </w:rPr>
              <w:t>Moderado: registrar listeners y observadores.</w:t>
            </w:r>
          </w:p>
        </w:tc>
        <w:tc>
          <w:tcPr>
            <w:tcW w:type="dxa" w:w="2551"/>
            <w:shd w:val="clear" w:color="auto" w:fill="F5F7FA"/>
          </w:tcPr>
          <w:p>
            <w:r/>
            <w:r>
              <w:rPr>
                <w:sz w:val="17"/>
              </w:rPr>
              <w:t>Alto: la interfaz de vista y el presentador crecen juntos, método por método.</w:t>
            </w:r>
          </w:p>
        </w:tc>
        <w:tc>
          <w:tcPr>
            <w:tcW w:type="dxa" w:w="2494"/>
            <w:shd w:val="clear" w:color="auto" w:fill="F5F7FA"/>
          </w:tcPr>
          <w:p>
            <w:r/>
            <w:r>
              <w:rPr>
                <w:sz w:val="17"/>
              </w:rPr>
              <w:t>Bajo si el framework trae binding; sin binding se vuelve tedioso.</w:t>
            </w:r>
          </w:p>
        </w:tc>
      </w:tr>
      <w:tr>
        <w:trPr>
          <w:cantSplit w:val="true"/>
        </w:trPr>
        <w:tc>
          <w:tcPr>
            <w:tcW w:type="dxa" w:w="1474"/>
            <w:shd w:val="clear" w:color="auto" w:fill="E8EDF3"/>
          </w:tcPr>
          <w:p>
            <w:r>
              <w:rPr>
                <w:b/>
              </w:rPr>
            </w:r>
            <w:r>
              <w:rPr>
                <w:sz w:val="17"/>
              </w:rPr>
              <w:t>Riesgo típico</w:t>
            </w:r>
          </w:p>
        </w:tc>
        <w:tc>
          <w:tcPr>
            <w:tcW w:type="dxa" w:w="2551"/>
          </w:tcPr>
          <w:p>
            <w:r/>
            <w:r>
              <w:rPr>
                <w:sz w:val="17"/>
              </w:rPr>
              <w:t>Controladores «gordos» o vistas que toman decisiones.</w:t>
            </w:r>
          </w:p>
        </w:tc>
        <w:tc>
          <w:tcPr>
            <w:tcW w:type="dxa" w:w="2551"/>
          </w:tcPr>
          <w:p>
            <w:r/>
            <w:r>
              <w:rPr>
                <w:sz w:val="17"/>
              </w:rPr>
              <w:t>Presentadores enormes y muchas interfaces casi idénticas.</w:t>
            </w:r>
          </w:p>
        </w:tc>
        <w:tc>
          <w:tcPr>
            <w:tcW w:type="dxa" w:w="2494"/>
          </w:tcPr>
          <w:p>
            <w:r/>
            <w:r>
              <w:rPr>
                <w:sz w:val="17"/>
              </w:rPr>
              <w:t>Bindings difíciles de depurar y ViewModels que absorben reglas de negocio.</w:t>
            </w:r>
          </w:p>
        </w:tc>
      </w:tr>
      <w:tr>
        <w:trPr>
          <w:cantSplit w:val="true"/>
        </w:trPr>
        <w:tc>
          <w:tcPr>
            <w:tcW w:type="dxa" w:w="1474"/>
            <w:shd w:val="clear" w:color="auto" w:fill="E8EDF3"/>
          </w:tcPr>
          <w:p>
            <w:r>
              <w:rPr>
                <w:b/>
              </w:rPr>
            </w:r>
            <w:r>
              <w:rPr>
                <w:sz w:val="17"/>
              </w:rPr>
              <w:t>Tecnologías donde aparece</w:t>
            </w:r>
          </w:p>
        </w:tc>
        <w:tc>
          <w:tcPr>
            <w:tcW w:type="dxa" w:w="2551"/>
            <w:shd w:val="clear" w:color="auto" w:fill="F5F7FA"/>
          </w:tcPr>
          <w:p>
            <w:r/>
            <w:r>
              <w:rPr>
                <w:sz w:val="17"/>
              </w:rPr>
              <w:t>Swing (JTable/TableModel), Cocoa clásico, frameworks web (Spring MVC, Rails).</w:t>
            </w:r>
          </w:p>
        </w:tc>
        <w:tc>
          <w:tcPr>
            <w:tcW w:type="dxa" w:w="2551"/>
            <w:shd w:val="clear" w:color="auto" w:fill="F5F7FA"/>
          </w:tcPr>
          <w:p>
            <w:r/>
            <w:r>
              <w:rPr>
                <w:sz w:val="17"/>
              </w:rPr>
              <w:t>Windows Forms, GWT, Android clásico (Activities con presentadores).</w:t>
            </w:r>
          </w:p>
        </w:tc>
        <w:tc>
          <w:tcPr>
            <w:tcW w:type="dxa" w:w="2494"/>
            <w:shd w:val="clear" w:color="auto" w:fill="F5F7FA"/>
          </w:tcPr>
          <w:p>
            <w:r/>
            <w:r>
              <w:rPr>
                <w:sz w:val="17"/>
              </w:rPr>
              <w:t>WPF, .NET MAUI, Android Jetpack (ViewModel + LiveData/Compose), Angular, Vue.</w:t>
            </w:r>
          </w:p>
        </w:tc>
      </w:tr>
      <w:tr>
        <w:trPr>
          <w:cantSplit w:val="true"/>
        </w:trPr>
        <w:tc>
          <w:tcPr>
            <w:tcW w:type="dxa" w:w="1474"/>
            <w:shd w:val="clear" w:color="auto" w:fill="E8EDF3"/>
          </w:tcPr>
          <w:p>
            <w:r>
              <w:rPr>
                <w:b/>
              </w:rPr>
            </w:r>
            <w:r>
              <w:rPr>
                <w:sz w:val="17"/>
              </w:rPr>
              <w:t>Cómo sería en esta tienda</w:t>
            </w:r>
          </w:p>
        </w:tc>
        <w:tc>
          <w:tcPr>
            <w:tcW w:type="dxa" w:w="2551"/>
          </w:tcPr>
          <w:p>
            <w:r/>
            <w:r>
              <w:rPr>
                <w:sz w:val="17"/>
              </w:rPr>
              <w:t xml:space="preserve">Implementación actual: </w:t>
            </w:r>
            <w:r>
              <w:rPr>
                <w:rFonts w:ascii="Consolas" w:hAnsi="Consolas"/>
                <w:sz w:val="14"/>
              </w:rPr>
              <w:t>ControladorMostrador</w:t>
            </w:r>
            <w:r>
              <w:rPr>
                <w:sz w:val="17"/>
              </w:rPr>
              <w:t xml:space="preserve"> recibe los botones, </w:t>
            </w:r>
            <w:r>
              <w:rPr>
                <w:rFonts w:ascii="Consolas" w:hAnsi="Consolas"/>
                <w:sz w:val="14"/>
              </w:rPr>
              <w:t>Tienda</w:t>
            </w:r>
            <w:r>
              <w:rPr>
                <w:sz w:val="17"/>
              </w:rPr>
              <w:t xml:space="preserve"> notifica y ambas ventanas se refrescan.</w:t>
            </w:r>
          </w:p>
        </w:tc>
        <w:tc>
          <w:tcPr>
            <w:tcW w:type="dxa" w:w="2551"/>
          </w:tcPr>
          <w:p>
            <w:r/>
            <w:r>
              <w:rPr>
                <w:rFonts w:ascii="Consolas" w:hAnsi="Consolas"/>
                <w:sz w:val="14"/>
              </w:rPr>
              <w:t>VentanaMostrador</w:t>
            </w:r>
            <w:r>
              <w:rPr>
                <w:sz w:val="17"/>
              </w:rPr>
              <w:t xml:space="preserve"> reenviaría cada clic a un </w:t>
            </w:r>
            <w:r>
              <w:rPr>
                <w:rFonts w:ascii="Consolas" w:hAnsi="Consolas"/>
                <w:sz w:val="14"/>
              </w:rPr>
              <w:t>PresentadorMostrador</w:t>
            </w:r>
            <w:r>
              <w:rPr>
                <w:sz w:val="17"/>
              </w:rPr>
              <w:t xml:space="preserve"> que ya llama </w:t>
            </w:r>
            <w:r>
              <w:rPr>
                <w:rFonts w:ascii="Consolas" w:hAnsi="Consolas"/>
                <w:sz w:val="14"/>
              </w:rPr>
              <w:t>mostrarPedido(...)</w:t>
            </w:r>
            <w:r>
              <w:rPr>
                <w:sz w:val="17"/>
              </w:rPr>
              <w:t>; sería casi igual al diseño actual.</w:t>
            </w:r>
          </w:p>
        </w:tc>
        <w:tc>
          <w:tcPr>
            <w:tcW w:type="dxa" w:w="2494"/>
          </w:tcPr>
          <w:p>
            <w:r/>
            <w:r>
              <w:rPr>
                <w:sz w:val="17"/>
              </w:rPr>
              <w:t xml:space="preserve">Un </w:t>
            </w:r>
            <w:r>
              <w:rPr>
                <w:rFonts w:ascii="Consolas" w:hAnsi="Consolas"/>
                <w:sz w:val="14"/>
              </w:rPr>
              <w:t>MostradorViewModel</w:t>
            </w:r>
            <w:r>
              <w:rPr>
                <w:sz w:val="17"/>
              </w:rPr>
              <w:t xml:space="preserve"> con propiedades </w:t>
            </w:r>
            <w:r>
              <w:rPr>
                <w:rFonts w:ascii="Consolas" w:hAnsi="Consolas"/>
                <w:sz w:val="14"/>
              </w:rPr>
              <w:t>pedido</w:t>
            </w:r>
            <w:r>
              <w:rPr>
                <w:sz w:val="17"/>
              </w:rPr>
              <w:t xml:space="preserve"> y </w:t>
            </w:r>
            <w:r>
              <w:rPr>
                <w:rFonts w:ascii="Consolas" w:hAnsi="Consolas"/>
                <w:sz w:val="14"/>
              </w:rPr>
              <w:t>total</w:t>
            </w:r>
            <w:r>
              <w:rPr>
                <w:sz w:val="17"/>
              </w:rPr>
              <w:t xml:space="preserve"> observables; Swing no tiene binding nativo, habría que programarlo.</w:t>
            </w:r>
          </w:p>
        </w:tc>
      </w:tr>
    </w:tbl>
    <w:p/>
    <w:p>
      <w:pPr>
        <w:jc w:val="both"/>
      </w:pPr>
      <w:r>
        <w:rPr>
          <w:b/>
        </w:rPr>
        <w:t>Por qué MVC en este proyecto.</w:t>
      </w:r>
      <w:r>
        <w:t xml:space="preserve"> Swing no ofrece enlace de datos nativo, así que MVVM obligaría a escribir a mano el mecanismo que en WPF o Jetpack da el framework. MVC con Observer resuelve la sincronización entre Almacén y Mostrador con una sola interfaz (</w:t>
      </w:r>
      <w:r>
        <w:rPr>
          <w:rFonts w:ascii="Consolas" w:hAnsi="Consolas"/>
          <w:sz w:val="19"/>
        </w:rPr>
        <w:t>ObservadorTienda</w:t>
      </w:r>
      <w:r>
        <w:t>), y como los controladores hablan con interfaces de vista (</w:t>
      </w:r>
      <w:r>
        <w:rPr>
          <w:rFonts w:ascii="Consolas" w:hAnsi="Consolas"/>
          <w:sz w:val="19"/>
        </w:rPr>
        <w:t>VistaAlmacen</w:t>
      </w:r>
      <w:r>
        <w:t xml:space="preserve">, </w:t>
      </w:r>
      <w:r>
        <w:rPr>
          <w:rFonts w:ascii="Consolas" w:hAnsi="Consolas"/>
          <w:sz w:val="19"/>
        </w:rPr>
        <w:t>VistaMostrador</w:t>
      </w:r>
      <w:r>
        <w:t>), el diseño ya tiene la principal ventaja de MVP: los controladores se prueban con vistas falsas, sin abrir ventanas.</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Ejercicio 8 · Tienda de instrumentos musicales · Página </w:t>
    </w:r>
    <w:r>
      <w:rPr>
        <w:color w:val="595959"/>
        <w:sz w:val="18"/>
      </w:rPr>
      <w:fldChar w:fldCharType="begin"/>
    </w:r>
    <w:r>
      <w:rPr>
        <w:color w:val="595959"/>
        <w:sz w:val="18"/>
      </w:rPr>
      <w:instrText xml:space="preserve">PAGE</w:instrText>
    </w:r>
    <w:r>
      <w:rPr>
        <w:color w:val="595959"/>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29"/>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