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INSTITUTO TECNOLÓGICO DE SONORA</w:t>
      </w:r>
    </w:p>
    <w:p>
      <w:pPr>
        <w:jc w:val="center"/>
      </w:pPr>
      <w:r>
        <w:rPr>
          <w:b w:val="0"/>
          <w:sz w:val="22"/>
        </w:rPr>
        <w:t>Ingeniería en Software · Arquitectura de Software</w:t>
      </w:r>
    </w:p>
    <w:p>
      <w:pPr>
        <w:spacing w:before="360"/>
        <w:jc w:val="center"/>
      </w:pPr>
      <w:r>
        <w:rPr>
          <w:b/>
          <w:color w:val="1F3A5F"/>
          <w:sz w:val="40"/>
        </w:rPr>
        <w:t>Ejercicio 8. Proyecto integrador</w:t>
      </w:r>
    </w:p>
    <w:p>
      <w:pPr>
        <w:jc w:val="center"/>
      </w:pPr>
      <w:r>
        <w:rPr>
          <w:i/>
          <w:sz w:val="23"/>
        </w:rPr>
        <w:t>Sistema de gestión para una tienda de instrumentos musicales · Justificación de la ubicación de las reglas de negocio</w:t>
      </w:r>
    </w:p>
    <w:p>
      <w:pPr>
        <w:spacing w:before="280"/>
      </w:pPr>
      <w:r>
        <w:rPr>
          <w:b/>
        </w:rPr>
        <w:t xml:space="preserve">Nombre del alumno: </w:t>
      </w:r>
      <w:r>
        <w:t>________________________________________________</w:t>
      </w:r>
    </w:p>
    <w:p>
      <w:r>
        <w:rPr>
          <w:b/>
        </w:rPr>
        <w:t xml:space="preserve">Grupo: </w:t>
      </w:r>
      <w:r>
        <w:t>______________</w:t>
      </w:r>
    </w:p>
    <w:p>
      <w:pPr>
        <w:pStyle w:val="Heading1"/>
      </w:pPr>
      <w:r>
        <w:t>¿Dónde coloqué cada regla de negocio y por qué?</w:t>
      </w:r>
    </w:p>
    <w:p>
      <w:pPr>
        <w:jc w:val="both"/>
      </w:pPr>
      <w:r>
        <w:t xml:space="preserve">Las tres reglas viven en el paquete </w:t>
      </w:r>
      <w:r>
        <w:rPr>
          <w:rFonts w:ascii="Consolas" w:hAnsi="Consolas"/>
          <w:sz w:val="19"/>
        </w:rPr>
        <w:t>modelo</w:t>
      </w:r>
      <w:r>
        <w:t xml:space="preserve">, concentradas en la clase </w:t>
      </w:r>
      <w:r>
        <w:rPr>
          <w:rFonts w:ascii="Consolas" w:hAnsi="Consolas"/>
          <w:sz w:val="19"/>
        </w:rPr>
        <w:t>Tienda</w:t>
      </w:r>
      <w:r>
        <w:t>, porque las dos vistas (Almacén y Mostrador) deben obedecerlas por igual y porque así se prueban con JUnit sin abrir una sola ventana.</w:t>
      </w:r>
    </w:p>
    <w:p>
      <w:pPr>
        <w:jc w:val="both"/>
      </w:pPr>
      <w:r>
        <w:rPr>
          <w:b/>
        </w:rPr>
        <w:t>Regla 1, compatibilidad de accesorios.</w:t>
      </w:r>
      <w:r>
        <w:t xml:space="preserve"> Si un pedido incluye un saxofón, cada boquilla y caña debe ser de su misma familia. La coloqué en </w:t>
      </w:r>
      <w:r>
        <w:rPr>
          <w:rFonts w:ascii="Consolas" w:hAnsi="Consolas"/>
          <w:sz w:val="19"/>
        </w:rPr>
        <w:t>Tienda.validarCompatibilidad()</w:t>
      </w:r>
      <w:r>
        <w:t xml:space="preserve"> apoyada en </w:t>
      </w:r>
      <w:r>
        <w:rPr>
          <w:rFonts w:ascii="Consolas" w:hAnsi="Consolas"/>
          <w:sz w:val="19"/>
        </w:rPr>
        <w:t>Articulo.esCompatibleCon()</w:t>
      </w:r>
      <w:r>
        <w:t xml:space="preserve">: que una boquilla de tenor no sirva a un alto es conocimiento del negocio. Si sólo la vista filtrara el combo, cualquier otro canal podría vender un kit inútil. El modelo lanza </w:t>
      </w:r>
      <w:r>
        <w:rPr>
          <w:rFonts w:ascii="Consolas" w:hAnsi="Consolas"/>
          <w:sz w:val="19"/>
        </w:rPr>
        <w:t>AccesorioIncompatibleException</w:t>
      </w:r>
      <w:r>
        <w:t>, el controlador la traduce en un aviso y la vista lo pinta en rojo.</w:t>
      </w:r>
    </w:p>
    <w:p>
      <w:pPr>
        <w:jc w:val="both"/>
      </w:pPr>
      <w:r>
        <w:rPr>
          <w:b/>
        </w:rPr>
        <w:t>Regla 2, stock mínimo.</w:t>
      </w:r>
      <w:r>
        <w:t xml:space="preserve"> Cada </w:t>
      </w:r>
      <w:r>
        <w:rPr>
          <w:rFonts w:ascii="Consolas" w:hAnsi="Consolas"/>
          <w:sz w:val="19"/>
        </w:rPr>
        <w:t>TipoArticulo</w:t>
      </w:r>
      <w:r>
        <w:t xml:space="preserve"> declara su umbral (cañas 20, boquillas 2, saxofones 1), </w:t>
      </w:r>
      <w:r>
        <w:rPr>
          <w:rFonts w:ascii="Consolas" w:hAnsi="Consolas"/>
          <w:sz w:val="19"/>
        </w:rPr>
        <w:t>Articulo.requiereReabasto()</w:t>
      </w:r>
      <w:r>
        <w:t xml:space="preserve"> decide y </w:t>
      </w:r>
      <w:r>
        <w:rPr>
          <w:rFonts w:ascii="Consolas" w:hAnsi="Consolas"/>
          <w:sz w:val="19"/>
        </w:rPr>
        <w:t>Tienda.getAlertasReabasto()</w:t>
      </w:r>
      <w:r>
        <w:t xml:space="preserve"> reúne las alertas. Decidir qué es «poco stock» es del modelo; pintarlo de rojo es de </w:t>
      </w:r>
      <w:r>
        <w:rPr>
          <w:rFonts w:ascii="Consolas" w:hAnsi="Consolas"/>
          <w:sz w:val="19"/>
        </w:rPr>
        <w:t>VentanaAlmacen</w:t>
      </w:r>
      <w:r>
        <w:t>, como el par 5 y 6 del ejercicio 5. Gracias al observador, la alerta aparece en el almacén en cuanto el mostrador cobra.</w:t>
      </w:r>
    </w:p>
    <w:p>
      <w:pPr>
        <w:jc w:val="both"/>
      </w:pPr>
      <w:r>
        <w:rPr>
          <w:b/>
        </w:rPr>
        <w:t>Regla 3, kit de inicio.</w:t>
      </w:r>
      <w:r>
        <w:t xml:space="preserve"> Por cada saxofón, una boquilla y hasta diez cañas de su familia llevan 15 % de descuento. Va en </w:t>
      </w:r>
      <w:r>
        <w:rPr>
          <w:rFonts w:ascii="Consolas" w:hAnsi="Consolas"/>
          <w:sz w:val="19"/>
        </w:rPr>
        <w:t>Tienda.calcularTicket()</w:t>
      </w:r>
      <w:r>
        <w:t xml:space="preserve">, con </w:t>
      </w:r>
      <w:r>
        <w:rPr>
          <w:rFonts w:ascii="Consolas" w:hAnsi="Consolas"/>
          <w:sz w:val="19"/>
        </w:rPr>
        <w:t>BigDecimal</w:t>
      </w:r>
      <w:r>
        <w:t xml:space="preserve">, y la usan </w:t>
      </w:r>
      <w:r>
        <w:rPr>
          <w:rFonts w:ascii="Consolas" w:hAnsi="Consolas"/>
          <w:sz w:val="19"/>
        </w:rPr>
        <w:t>cotizar()</w:t>
      </w:r>
      <w:r>
        <w:t xml:space="preserve"> y </w:t>
      </w:r>
      <w:r>
        <w:rPr>
          <w:rFonts w:ascii="Consolas" w:hAnsi="Consolas"/>
          <w:sz w:val="19"/>
        </w:rPr>
        <w:t>vender()</w:t>
      </w:r>
      <w:r>
        <w:t>, así que lo cotizado y lo cobrado no pueden diferir. La vista sólo formatea; ponerla ahí sería la violación E del ejercicio 7.</w:t>
      </w:r>
    </w:p>
    <w:p>
      <w:pPr>
        <w:jc w:val="both"/>
      </w:pPr>
      <w:r>
        <w:t xml:space="preserve">Los controladores sólo convierten texto a número y guardan el pedido en captura, que es estado de la interacción y no del negocio. La persistencia queda detrás de </w:t>
      </w:r>
      <w:r>
        <w:rPr>
          <w:rFonts w:ascii="Consolas" w:hAnsi="Consolas"/>
          <w:sz w:val="19"/>
        </w:rPr>
        <w:t>ArticuloDAO</w:t>
      </w:r>
      <w:r>
        <w:t xml:space="preserve"> y se cambia en una línea de </w:t>
      </w:r>
      <w:r>
        <w:rPr>
          <w:rFonts w:ascii="Consolas" w:hAnsi="Consolas"/>
          <w:sz w:val="19"/>
        </w:rPr>
        <w:t>Main</w:t>
      </w:r>
      <w:r>
        <w:t>.</w:t>
      </w:r>
    </w:p>
    <w:p>
      <w:pPr>
        <w:pStyle w:val="Heading2"/>
      </w:pPr>
      <w:r>
        <w:t>Mapa de reglas, clases y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Cómo se expresa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Pruebas JUnit 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1. Compatibilidad de boquillas y cañas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modelo.Tienda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modelo.Articulo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modelo.Familia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AccesorioIncompatibleException</w:t>
            </w:r>
            <w:r>
              <w:rPr>
                <w:sz w:val="18"/>
              </w:rPr>
              <w:t>; venta atómica (nada se descuenta si una línea falla)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ReglaCompatibilidadTest</w:t>
            </w:r>
            <w:r>
              <w:rPr>
                <w:sz w:val="18"/>
              </w:rPr>
              <w:t xml:space="preserve"> (6 casos)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r/>
            <w:r>
              <w:rPr>
                <w:sz w:val="18"/>
              </w:rPr>
              <w:t>2. Alerta de stock mínimo por tipo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modelo.TipoArticulo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modelo.Articulo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modelo.Tienda</w:t>
            </w:r>
          </w:p>
        </w:tc>
        <w:tc>
          <w:tcPr>
            <w:tcW w:type="dxa" w:w="2608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requiereReabasto()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getAlertasReabasto()</w:t>
            </w:r>
            <w:r>
              <w:rPr>
                <w:sz w:val="18"/>
              </w:rPr>
              <w:t>; la vista sólo colorea</w:t>
            </w:r>
          </w:p>
        </w:tc>
        <w:tc>
          <w:tcPr>
            <w:tcW w:type="dxa" w:w="2041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ReglaReabastecimientoTest</w:t>
            </w:r>
            <w:r>
              <w:rPr>
                <w:sz w:val="18"/>
              </w:rPr>
              <w:t xml:space="preserve"> (6 casos)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3. Descuento de kit de inicio</w:t>
            </w:r>
          </w:p>
        </w:tc>
        <w:tc>
          <w:tcPr>
            <w:tcW w:type="dxa" w:w="2381"/>
          </w:tcPr>
          <w:p>
            <w:r/>
            <w:r>
              <w:rPr>
                <w:rFonts w:ascii="Consolas" w:hAnsi="Consolas"/>
                <w:sz w:val="17"/>
              </w:rPr>
              <w:t>modelo.Tienda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modelo.Ticket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modelo.RenglonTicket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17"/>
              </w:rPr>
              <w:t>cotizar()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vender()</w:t>
            </w:r>
            <w:r>
              <w:rPr>
                <w:sz w:val="18"/>
              </w:rPr>
              <w:t xml:space="preserve"> devuelven un </w:t>
            </w:r>
            <w:r>
              <w:rPr>
                <w:rFonts w:ascii="Consolas" w:hAnsi="Consolas"/>
                <w:sz w:val="17"/>
              </w:rPr>
              <w:t>Ticket</w:t>
            </w:r>
            <w:r>
              <w:rPr>
                <w:sz w:val="18"/>
              </w:rPr>
              <w:t xml:space="preserve"> con importes ya calculados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17"/>
              </w:rPr>
              <w:t>ReglaKitDeInicioTest</w:t>
            </w:r>
            <w:r>
              <w:rPr>
                <w:sz w:val="18"/>
              </w:rPr>
              <w:t xml:space="preserve"> (7 casos)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r/>
            <w:r>
              <w:rPr>
                <w:sz w:val="18"/>
              </w:rPr>
              <w:t>Validaciones generales y stock</w:t>
            </w:r>
          </w:p>
        </w:tc>
        <w:tc>
          <w:tcPr>
            <w:tcW w:type="dxa" w:w="2381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modelo.Tienda</w:t>
            </w:r>
          </w:p>
        </w:tc>
        <w:tc>
          <w:tcPr>
            <w:tcW w:type="dxa" w:w="2608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DatosInvalidosException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StockInsuficienteException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ArticuloNoEncontradoException</w:t>
            </w:r>
          </w:p>
        </w:tc>
        <w:tc>
          <w:tcPr>
            <w:tcW w:type="dxa" w:w="2041"/>
            <w:shd w:val="clear" w:color="auto" w:fill="F2F5F9"/>
          </w:tcPr>
          <w:p>
            <w:r/>
            <w:r>
              <w:rPr>
                <w:rFonts w:ascii="Consolas" w:hAnsi="Consolas"/>
                <w:sz w:val="17"/>
              </w:rPr>
              <w:t>TiendaTest</w:t>
            </w:r>
            <w:r>
              <w:rPr>
                <w:sz w:val="18"/>
              </w:rPr>
              <w:t xml:space="preserve"> (5 casos)</w:t>
            </w:r>
          </w:p>
        </w:tc>
      </w:tr>
    </w:tbl>
    <w:p/>
    <w:p>
      <w:pPr>
        <w:jc w:val="both"/>
      </w:pPr>
      <w:r>
        <w:t xml:space="preserve">Además: </w:t>
      </w:r>
      <w:r>
        <w:rPr>
          <w:rFonts w:ascii="Consolas" w:hAnsi="Consolas"/>
          <w:sz w:val="19"/>
        </w:rPr>
        <w:t>ArticuloDAOTest</w:t>
      </w:r>
      <w:r>
        <w:t xml:space="preserve"> (5 casos, mismo contrato en memoria y en archivo) y </w:t>
      </w:r>
      <w:r>
        <w:rPr>
          <w:rFonts w:ascii="Consolas" w:hAnsi="Consolas"/>
          <w:sz w:val="19"/>
        </w:rPr>
        <w:t>DosVistasSincronizadasTest</w:t>
      </w:r>
      <w:r>
        <w:t xml:space="preserve"> (4 casos, sincronización entre ambas vistas mediante Observer). Resultado: 33 pruebas, 33 exitosas.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