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40"/>
          <w:szCs w:val="40"/>
        </w:rPr>
        <w:t xml:space="preserve">MOROCCO PET FACTORY</w:t>
      </w:r>
    </w:p>
    <w:p>
      <w:pPr>
        <w:spacing w:after="600"/>
        <w:jc w:val="center"/>
      </w:pPr>
      <w:r>
        <w:rPr>
          <w:i/>
          <w:iCs/>
          <w:color w:val="5B6B7A"/>
          <w:sz w:val="22"/>
          <w:szCs w:val="22"/>
        </w:rPr>
        <w:t xml:space="preserve">A Petland Maroc × Normandie Pet Food Joint Venture — Marrakech, Morocco</w:t>
      </w:r>
    </w:p>
    <w:p>
      <w:pPr>
        <w:pBdr>
          <w:top w:val="single" w:color="1F3A5F" w:sz="8" w:space="8"/>
          <w:bottom w:val="single" w:color="1F3A5F" w:sz="8" w:space="8"/>
        </w:pBdr>
        <w:spacing w:after="200"/>
        <w:jc w:val="center"/>
      </w:pPr>
      <w:r>
        <w:rPr>
          <w:b/>
          <w:bCs/>
          <w:color w:val="1F3A5F"/>
          <w:sz w:val="56"/>
          <w:szCs w:val="56"/>
        </w:rPr>
        <w:t xml:space="preserve">REQUEST FOR PROPOSAL</w:t>
      </w:r>
    </w:p>
    <w:p>
      <w:pPr>
        <w:spacing w:after="1200"/>
        <w:jc w:val="center"/>
      </w:pPr>
      <w:r>
        <w:rPr>
          <w:sz w:val="28"/>
          <w:szCs w:val="28"/>
        </w:rPr>
        <w:t xml:space="preserve">Industrial Steam Boiler System — Supply, Delivery, Commissioning &amp; Training</w:t>
      </w:r>
    </w:p>
    <w:p>
      <w:pPr>
        <w:spacing w:after="80"/>
        <w:jc w:val="center"/>
      </w:pPr>
      <w:r>
        <w:rPr>
          <w:b/>
          <w:bCs/>
          <w:sz w:val="24"/>
          <w:szCs w:val="24"/>
        </w:rPr>
        <w:t xml:space="preserve">RFP Reference: MPF-BLR-RFP-2026-002</w:t>
      </w:r>
    </w:p>
    <w:p>
      <w:pPr>
        <w:spacing w:after="80"/>
        <w:jc w:val="center"/>
      </w:pPr>
      <w:r>
        <w:rPr>
          <w:sz w:val="22"/>
          <w:szCs w:val="22"/>
        </w:rPr>
        <w:t xml:space="preserve">Issue Date: 11 June 2026</w:t>
      </w:r>
    </w:p>
    <w:p>
      <w:pPr>
        <w:spacing w:after="80"/>
        <w:jc w:val="center"/>
      </w:pPr>
      <w:r>
        <w:rPr>
          <w:sz w:val="22"/>
          <w:szCs w:val="22"/>
        </w:rPr>
        <w:t xml:space="preserve">Proposal Due Date: 9 July 2026, 17:00 (GMT+1, Morocco)</w:t>
      </w:r>
    </w:p>
    <w:p>
      <w:pPr>
        <w:spacing w:after="1000"/>
        <w:jc w:val="center"/>
      </w:pPr>
      <w:r>
        <w:rPr>
          <w:i/>
          <w:iCs/>
          <w:color w:val="5B6B7A"/>
          <w:sz w:val="20"/>
          <w:szCs w:val="20"/>
        </w:rPr>
        <w:t xml:space="preserve">Supersedes and consolidates RFQ MPF-BLR-RFQ-2026-001</w:t>
      </w:r>
    </w:p>
    <w:p>
      <w:pPr>
        <w:jc w:val="center"/>
      </w:pPr>
      <w:r>
        <w:rPr>
          <w:color w:val="5B6B7A"/>
          <w:sz w:val="18"/>
          <w:szCs w:val="18"/>
        </w:rPr>
        <w:t xml:space="preserve">CONFIDENTIAL — Issued to invited bidders only. Contents may not be disclosed to third parties without the written consent of Morocco Pet Factory.</w:t>
      </w:r>
    </w:p>
    <w:p>
      <w:r>
        <w:br w:type="page"/>
      </w:r>
    </w:p>
    <w:p>
      <w:pPr>
        <w:pStyle w:val="Heading1"/>
      </w:pPr>
      <w:r>
        <w:t xml:space="preserve">1. Introduction and Project Background</w:t>
      </w:r>
    </w:p>
    <w:p>
      <w:pPr>
        <w:spacing w:after="120"/>
      </w:pPr>
      <w:r>
        <w:t xml:space="preserve">Morocco Pet Factory (“MPF” or “the Purchaser”) is a greenfield dry pet food manufacturing facility located near Marrakech, Morocco, operating a 5 t/h twin-screw extrusion line. The plant will produce dry kibble for the Moroccan domestic market and for export to the European Union, the United States, the Gulf, and select African markets. Plant commissioning is targeted for Q4 2026.</w:t>
      </w:r>
    </w:p>
    <w:p>
      <w:pPr>
        <w:spacing w:after="120"/>
      </w:pPr>
      <w:r>
        <w:t xml:space="preserve">MPF invites qualified vendors to submit a binding proposal for the design, supply, delivery, commissioning, and training associated with a complete industrial steam generation system. Steam is a food-contact utility in this plant: it is injected directly into the extruder conditioner and must therefore meet culinary steam requirements in addition to conventional industrial boiler standards.</w:t>
      </w:r>
    </w:p>
    <w:p>
      <w:pPr>
        <w:spacing w:after="120"/>
      </w:pPr>
      <w:r>
        <w:t xml:space="preserve">This RFP supersedes RFQ MPF-BLR-RFQ-2026-001. Bidders who responded to the earlier RFQ may resubmit updated proposals; all proposals must conform to the requirements of this document. Offers older than six (6) months will not be evaluated — all pricing must be current and valid for a minimum of 120 days from the proposal due date.</w:t>
      </w:r>
    </w:p>
    <w:p>
      <w:pPr>
        <w:pStyle w:val="Heading2"/>
      </w:pPr>
      <w:r>
        <w:t xml:space="preserve">1.1 Key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Milestone</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Date</w:t>
            </w:r>
          </w:p>
        </w:tc>
        <w:tc>
          <w:tcPr>
            <w:tcW w:type="dxa" w:w="3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RFP issued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11 June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Bidder questions due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22 June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 writing, by 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MPF answers circulated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26 June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To all bidders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Proposals due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9 July 2026, 17:00 GMT+1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Electronic submission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Clarifications / negotiation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13–24 July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Shortlisted bidders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Award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31 July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Target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Delivery on site (DAP Marrakech)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By 19 October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Hard constraint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Steam system commissioned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Q4 2026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Aligned with plant start-up</w:t>
            </w:r>
          </w:p>
        </w:tc>
      </w:tr>
    </w:tbl>
    <w:p>
      <w:pPr>
        <w:spacing w:after="160"/>
      </w:pPr>
    </w:p>
    <w:p>
      <w:pPr>
        <w:spacing w:after="120"/>
      </w:pPr>
      <w:r>
        <w:t xml:space="preserve">The award date is fixed by the plant critical path: the boiler must be awarded no later than eight (8) weeks before the steam system commissioning window. Bidders unable to meet the delivery date must state so explicitly; conditional or unstated lead times will be treated as non-compliant.</w:t>
      </w:r>
    </w:p>
    <w:p>
      <w:pPr>
        <w:pStyle w:val="Heading1"/>
      </w:pPr>
      <w:r>
        <w:t xml:space="preserve">2. Scope of Supply</w:t>
      </w:r>
    </w:p>
    <w:p>
      <w:pPr>
        <w:spacing w:after="120"/>
      </w:pPr>
      <w:r>
        <w:t xml:space="preserve">The proposal shall cover a complete, turnkey-capable steam generation package comprising:</w:t>
      </w:r>
    </w:p>
    <w:p>
      <w:pPr>
        <w:pStyle w:val="ListParagraph"/>
        <w:numPr>
          <w:ilvl w:val="0"/>
          <w:numId w:val="2"/>
        </w:numPr>
        <w:spacing w:after="60"/>
      </w:pPr>
      <w:r>
        <w:t xml:space="preserve">Two (2) fire-tube steam boilers, three-pass wet-back design, with integrated economizers.</w:t>
      </w:r>
    </w:p>
    <w:p>
      <w:pPr>
        <w:pStyle w:val="ListParagraph"/>
        <w:numPr>
          <w:ilvl w:val="0"/>
          <w:numId w:val="2"/>
        </w:numPr>
        <w:spacing w:after="60"/>
      </w:pPr>
      <w:r>
        <w:t xml:space="preserve">Dual-fuel burners (LPG primary / natural gas ready), with combustion management and O₂ trim.</w:t>
      </w:r>
    </w:p>
    <w:p>
      <w:pPr>
        <w:pStyle w:val="ListParagraph"/>
        <w:numPr>
          <w:ilvl w:val="0"/>
          <w:numId w:val="2"/>
        </w:numPr>
        <w:spacing w:after="60"/>
      </w:pPr>
      <w:r>
        <w:t xml:space="preserve">Boiler control panels with safety chain per EN 12953 / applicable PED category, suitable for 72-hour unattended operation (BoSB 72h or equivalent).</w:t>
      </w:r>
    </w:p>
    <w:p>
      <w:pPr>
        <w:pStyle w:val="ListParagraph"/>
        <w:numPr>
          <w:ilvl w:val="0"/>
          <w:numId w:val="2"/>
        </w:numPr>
        <w:spacing w:after="60"/>
      </w:pPr>
      <w:r>
        <w:t xml:space="preserve">Feedwater system: feedwater tank with thermal deaerator, duplex water softener, reverse osmosis unit, and chemical dosing skid restricted to NSF H1 / 21 CFR 173.310-compliant chemicals.</w:t>
      </w:r>
    </w:p>
    <w:p>
      <w:pPr>
        <w:pStyle w:val="ListParagraph"/>
        <w:numPr>
          <w:ilvl w:val="0"/>
          <w:numId w:val="2"/>
        </w:numPr>
        <w:spacing w:after="60"/>
      </w:pPr>
      <w:r>
        <w:t xml:space="preserve">Steam distribution header (barillet) and culinary steam conditioning train: cyclonic separator, hygienic filter (≤2 µm), and 316L stainless steel piping specification up to the extruder conditioner inlet.</w:t>
      </w:r>
    </w:p>
    <w:p>
      <w:pPr>
        <w:pStyle w:val="ListParagraph"/>
        <w:numPr>
          <w:ilvl w:val="0"/>
          <w:numId w:val="2"/>
        </w:numPr>
        <w:spacing w:after="60"/>
      </w:pPr>
      <w:r>
        <w:t xml:space="preserve">Instrumentation: steam flow meter and feedwater flow meter per boiler (Endress+Hauser or equivalent), suitable for MES integration (Siemens S7-1500 / PROFINET environment).</w:t>
      </w:r>
    </w:p>
    <w:p>
      <w:pPr>
        <w:pStyle w:val="ListParagraph"/>
        <w:numPr>
          <w:ilvl w:val="0"/>
          <w:numId w:val="2"/>
        </w:numPr>
        <w:spacing w:after="60"/>
      </w:pPr>
      <w:r>
        <w:t xml:space="preserve">Two-year recommended spare parts package, itemized.</w:t>
      </w:r>
    </w:p>
    <w:p>
      <w:pPr>
        <w:pStyle w:val="ListParagraph"/>
        <w:numPr>
          <w:ilvl w:val="0"/>
          <w:numId w:val="2"/>
        </w:numPr>
        <w:spacing w:after="60"/>
      </w:pPr>
      <w:r>
        <w:t xml:space="preserve">Complete documentation dossier (Section 4), including CE/PED conformity files.</w:t>
      </w:r>
    </w:p>
    <w:p>
      <w:pPr>
        <w:pStyle w:val="ListParagraph"/>
        <w:numPr>
          <w:ilvl w:val="0"/>
          <w:numId w:val="2"/>
        </w:numPr>
        <w:spacing w:after="60"/>
      </w:pPr>
      <w:r>
        <w:t xml:space="preserve">Freight, insurance, and delivery DAP MPF site, Marrakech region.</w:t>
      </w:r>
    </w:p>
    <w:p>
      <w:pPr>
        <w:pStyle w:val="ListParagraph"/>
        <w:numPr>
          <w:ilvl w:val="0"/>
          <w:numId w:val="2"/>
        </w:numPr>
        <w:spacing w:after="60"/>
      </w:pPr>
      <w:r>
        <w:t xml:space="preserve">Installation supervision, commissioning, performance testing, and operator training (minimum 10 days on site, delivered in French).</w:t>
      </w:r>
    </w:p>
    <w:p>
      <w:pPr>
        <w:pStyle w:val="Heading2"/>
      </w:pPr>
      <w:r>
        <w:t xml:space="preserve">2.1 Exclusions — must be declared</w:t>
      </w:r>
    </w:p>
    <w:p>
      <w:pPr>
        <w:spacing w:after="120"/>
      </w:pPr>
      <w:r>
        <w:t xml:space="preserve">Any item excluded from the bidder’s scope (e.g., interconnecting piping, civil works, LPG storage tank, gas pipework, electrical supply to panels, import duties) must be explicitly listed in a dedicated “Exclusions” section of the proposal with an indicative budget estimate for each excluded item. Proposals with silent exclusions will be penalized in evaluation.</w:t>
      </w:r>
    </w:p>
    <w:p>
      <w:pPr>
        <w:pStyle w:val="Heading1"/>
      </w:pPr>
      <w:r>
        <w:t xml:space="preserve">3. 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Parameter</w:t>
            </w:r>
          </w:p>
        </w:tc>
        <w:tc>
          <w:tcPr>
            <w:tcW w:type="dxa" w:w="56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Plant peak steam demand</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2,600 kg/h saturated steam (process peak, single line)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Configuration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 × units, N+1 logic: each unit ≥ 60% of design peak; combined nameplate 110–120% of peak demand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Indicative unit size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1,600–2,000 kg/h per boiler. Oversized units (e.g., 2 × 5,000 kg/h) must be technically justified; sustained low-load operation penalties (combustion efficiency, furnace condensation) will be assessed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Boiler type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Fire-tube, three-pass, wet-back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Design pressure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10 barg; operating pressure 7–8 barg saturated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Turndown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5:1 per unit, modulating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Fuel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Dual-fuel burner: LPG (propane) at start-up, convertible to natural gas without burner replacement. Conversion scope and cost to be itemized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Thermal efficiency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94% (NCV basis, with economizer, at 100% MCR on natural gas); ≥ 93% on LPG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Economizer</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Integrated, with bypass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Feedwater train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Duplex softener + RO + thermal deaerator (O₂ ≤ 0.02 mg/L at deaerator outlet)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Water treatment chemicals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NSF H1 registered and compliant with 21 CFR 173.310 only. Product names, registration numbers, and dosing rates to be stated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Culinary steam train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Cyclonic separator → hygienic filter ≤ 2 µm → 316L SS distribution, per 3-A Accepted Practice 609-03</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Steam quality at point of use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Per EN 285: dryness fraction ≥ 0.95; non-condensable gases ≤ 3.5 mL/100 mL; superheat ≤ 25 °C</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Controls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Boiler control panel with PROFINET interface or dry contacts + 4–20 mA for MES integration; remote monitoring capability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Electrical supply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400 V / 50 Hz, 3-phase + N + 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Ambient design conditions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Marrakech region: design ambient up to 45 °C, dust-laden environment; panel ventilation/IP rating to suit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Noise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85 dB(A) at 1 m, free field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Emissions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NOx ≤ 100 mg/Nm³ (3% O₂, natural gas); CO ≤ 100 mg/Nm³</w:t>
            </w:r>
          </w:p>
        </w:tc>
      </w:tr>
    </w:tbl>
    <w:p>
      <w:pPr>
        <w:spacing w:after="160"/>
      </w:pPr>
    </w:p>
    <w:p>
      <w:pPr>
        <w:spacing w:after="120"/>
      </w:pPr>
      <w:r>
        <w:t xml:space="preserve">Bidders shall provide a sizing note demonstrating that the proposed configuration covers the 2,600 kg/h peak with one unit out of service at reduced plant load, and showing predicted efficiency at 25%, 50%, 75%, and 100% load points.</w:t>
      </w:r>
    </w:p>
    <w:p>
      <w:pPr>
        <w:pStyle w:val="Heading1"/>
      </w:pPr>
      <w:r>
        <w:t xml:space="preserve">4. Regulatory and Food-Safety Compliance Requirements</w:t>
      </w:r>
    </w:p>
    <w:p>
      <w:pPr>
        <w:spacing w:after="120"/>
      </w:pPr>
      <w:r>
        <w:t xml:space="preserve">MPF exports to FDA- and EU-regulated markets and operates under FSSC 22000 and 21 CFR Part 507 (FSMA Preventive Controls for Animal Food). There is no “FDA-certified boiler”; compliance is demonstrated through a documentation dossier. The successful bidder must deliver the following with the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Dossier element</w:t>
            </w:r>
          </w:p>
        </w:tc>
        <w:tc>
          <w:tcPr>
            <w:tcW w:type="dxa" w:w="62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CE / PED conformity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Declaration of Conformity per PED 2014/68/EU (DESP), notified body certificates, design calculations, hydrostatic test reports, material certificates (EN 10204 3.1)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Boiler water additives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Statement that all supplied/recommended chemicals comply with 21 CFR 173.310; NSF H1 registration certificates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Culinary steam architecture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P&amp;ID and component list demonstrating conformity with 3-A Accepted Practice 609-03 from boiler outlet to conditioner inlet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Steam quality test protocol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EN 285 test method statements for dryness, NCG, and superheat, to be executed at commissioning as acceptance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Welding &amp; materials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WPS/PQR, welder qualifications, 316L material certs for culinary train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Safety devices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Safety valve sizing and certificates, burner safety chain (coffret de sécurité) test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Operating documentation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O&amp;M manuals in French and English; commissioning reports; training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Moroccan compliance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Equipment importable and operable under Moroccan pressure equipment regulations; bidder to state local inspection/approval support offered</w:t>
            </w:r>
          </w:p>
        </w:tc>
      </w:tr>
    </w:tbl>
    <w:p>
      <w:pPr>
        <w:spacing w:after="160"/>
      </w:pPr>
    </w:p>
    <w:p>
      <w:pPr>
        <w:pStyle w:val="Heading2"/>
      </w:pPr>
      <w:r>
        <w:t xml:space="preserve">4.1 Warranty — mandatory territorial coverage</w:t>
      </w:r>
    </w:p>
    <w:p>
      <w:pPr>
        <w:spacing w:after="120"/>
      </w:pPr>
      <w:r>
        <w:t xml:space="preserve">The warranty must explicitly cover installation and operation in Morocco. Warranty clauses limited to the UK/EU or to the vendor’s home market are non-compliant and will result in rejection unless corrected. Minimum warranty: 24 months from commissioning acceptance or 30 months from delivery, whichever expires first. The proposal must state the local or regional service organization responsible for warranty execution, spare parts stocking location, and guaranteed response times.</w:t>
      </w:r>
    </w:p>
    <w:p>
      <w:pPr>
        <w:pStyle w:val="Heading1"/>
      </w:pPr>
      <w:r>
        <w:t xml:space="preserve">5. Contractual Performance Guarantees</w:t>
      </w:r>
    </w:p>
    <w:p>
      <w:pPr>
        <w:spacing w:after="120"/>
      </w:pPr>
      <w:r>
        <w:t xml:space="preserve">The following performance guarantees (PGs) will be incorporated into the purchase contract. Each PG must be individually confirmed in the proposal. Failure to confirm a PG, or substitution with “typical values,” renders the proposal non-compliant. Liquidated damages (LDs) apply as indicated; total LD cap: 10% of contract value. Persistent failure to meet PG-01, PG-04, PG-05, or PG-06 after two remediation attempts constitutes grounds for rejection of the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700"/>
        <w:gridCol w:w="2526"/>
      </w:tblGrid>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PG</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Guarantee</w:t>
            </w:r>
          </w:p>
        </w:tc>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Demonstration method</w:t>
            </w:r>
          </w:p>
        </w:tc>
        <w:tc>
          <w:tcPr>
            <w:tcW w:type="dxa" w:w="25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LD provision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Rated steam output per unit at nameplate, continuous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72 h capacity test at commissioning, calibrated steam flow meter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of contract value per 1% shortfall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Thermal efficiency ≥ 94% NG / ≥ 93% LPG (NCV, 100% MCR)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Indirect method per EN 12953-11</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0.5% per 0.5 pt shortfall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Turndown ≥ 5:1, stable modulation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Stepped load test, no flame instability or lockout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Steam dryness fraction ≥ 0.95 at point of use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EN 285 throttling calorimeter / condensation method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 acceptance withheld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Non-condensable gases ≤ 3.5 mL/100 mL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EN 285 NCG test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 acceptance withheld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PG-06</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Superheat ≤ 25 °C at point of use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EN 285 temperature method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 acceptance withheld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Deaerator outlet dissolved O₂ ≤ 0.02 mg/L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Colorimetric / electrochemical measurement at commissioning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NOx ≤ 100 mg/Nm³, CO ≤ 100 mg/Nm³ (3% O₂, 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Flue gas analysis at 50% and 100% load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PG-09</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Noise ≤ 85 dB(A) at 1 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Sound level survey at commissioning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Remediation at vendor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Availability ≥ 98% over 30-day reliability run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Logged downtime attributable to vendor scope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0.25% per 0.5 pt shortfall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PG-11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Steam to specification within 15 working days of mechanical completion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Commissioning log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0.25% per week of delay</w:t>
            </w:r>
          </w:p>
        </w:tc>
      </w:tr>
    </w:tbl>
    <w:p>
      <w:pPr>
        <w:pStyle w:val="Heading1"/>
      </w:pPr>
      <w:r>
        <w:t xml:space="preserve">6. Refurbished Equipment — Alternative Path</w:t>
      </w:r>
    </w:p>
    <w:p>
      <w:pPr>
        <w:spacing w:after="120"/>
      </w:pPr>
      <w:r>
        <w:t xml:space="preserve">MPF will consider refurbished or reconditioned equipment as a clearly identified alternative offer, evaluated on a total landed cost basis (purchase price + refurbishment + new burner/controls if required + inspection + certification + logistics + commissioning + risk allowance). As a guideline, a refurbished offer is only of interest below approximately 65–70% of the equivalent new total landed cost.</w:t>
      </w:r>
    </w:p>
    <w:p>
      <w:pPr>
        <w:pStyle w:val="Heading2"/>
      </w:pPr>
      <w:r>
        <w:t xml:space="preserve">6.1 Disqualifying conditions</w:t>
      </w:r>
    </w:p>
    <w:p>
      <w:pPr>
        <w:pStyle w:val="ListParagraph"/>
        <w:numPr>
          <w:ilvl w:val="0"/>
          <w:numId w:val="2"/>
        </w:numPr>
        <w:spacing w:after="60"/>
      </w:pPr>
      <w:r>
        <w:t xml:space="preserve">Prior firing on heavy fuel oil (HFO) or coal at any point in the unit’s history.</w:t>
      </w:r>
    </w:p>
    <w:p>
      <w:pPr>
        <w:pStyle w:val="ListParagraph"/>
        <w:numPr>
          <w:ilvl w:val="0"/>
          <w:numId w:val="2"/>
        </w:numPr>
        <w:spacing w:after="60"/>
      </w:pPr>
      <w:r>
        <w:t xml:space="preserve">Missing or incomplete CE/PED documentation, design calculations, or material certificates.</w:t>
      </w:r>
    </w:p>
    <w:p>
      <w:pPr>
        <w:pStyle w:val="ListParagraph"/>
        <w:numPr>
          <w:ilvl w:val="0"/>
          <w:numId w:val="2"/>
        </w:numPr>
        <w:spacing w:after="60"/>
      </w:pPr>
      <w:r>
        <w:t xml:space="preserve">Unit age greater than 10 years from first commissioning.</w:t>
      </w:r>
    </w:p>
    <w:p>
      <w:pPr>
        <w:pStyle w:val="ListParagraph"/>
        <w:numPr>
          <w:ilvl w:val="0"/>
          <w:numId w:val="2"/>
        </w:numPr>
        <w:spacing w:after="60"/>
      </w:pPr>
      <w:r>
        <w:t xml:space="preserve">No verifiable provenance, inspection history, or pressure-test records.</w:t>
      </w:r>
    </w:p>
    <w:p>
      <w:pPr>
        <w:spacing w:after="120"/>
      </w:pPr>
      <w:r>
        <w:t xml:space="preserve">Refurbished offers must include a full inspection report (internal visual, ultrasonic thickness survey, tube condition), the refurbishment scope, and the same performance guarantees as new equipment (Section 5), with no reduction in warranty terms.</w:t>
      </w:r>
    </w:p>
    <w:p>
      <w:pPr>
        <w:pStyle w:val="Heading1"/>
      </w:pPr>
      <w:r>
        <w:t xml:space="preserve">7. Commercial Requirements and Itemized Pricing</w:t>
      </w:r>
    </w:p>
    <w:p>
      <w:pPr>
        <w:spacing w:after="120"/>
      </w:pPr>
      <w:r>
        <w:t xml:space="preserve">All pricing in MAD or EUR, fixed and firm, DAP MPF site (Incoterms 2020), exclusive of Moroccan VAT and import duties (to be shown separately for information). Pricing must follow the structure below; lump-sum-only offers will be returned for restatement.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026"/>
      </w:tblGrid>
      <w:t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Line</w:t>
            </w:r>
          </w:p>
        </w:tc>
        <w:tc>
          <w:tcPr>
            <w:tcW w:type="dxa" w:w="6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Item</w:t>
            </w:r>
          </w:p>
        </w:tc>
        <w:tc>
          <w:tcPr>
            <w:tcW w:type="dxa" w:w="2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Price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Boiler unit(s) — pressure body, fittings, insulation, per unit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2</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Dual-fuel burner(s), combustion manager, O₂ trim, gas train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3</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Integrated economizer(s) with bypass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4</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Control panel(s) incl. safety chain and MES interface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5</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Feedwater tank with thermal deaerator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6</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Water treatment: duplex softener + RO unit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7</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Chemical dosing skid + first-fill NSF H1 chemicals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8</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Steam distribution header (barillet)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9</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Culinary steam train: separator, hygienic filter, 316L spec</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10</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Instrumentation: steam + feedwater flow meters, per boiler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11</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Two-year recommended spare parts package (itemized annex)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12</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Documentation dossier incl. CE/PED files (Section 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13</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Freight, insurance, delivery DAP Marrakech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14</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Installation supervision, commissioning, performance tests, training (≥ 10 days, in French)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r>
    </w:tbl>
    <w:p>
      <w:pPr>
        <w:spacing w:after="160"/>
      </w:pPr>
    </w:p>
    <w:p>
      <w:pPr>
        <w:pStyle w:val="Heading2"/>
      </w:pPr>
      <w:r>
        <w:t xml:space="preserve">7.1 Commercial terms</w:t>
      </w:r>
    </w:p>
    <w:p>
      <w:pPr>
        <w:pStyle w:val="ListParagraph"/>
        <w:numPr>
          <w:ilvl w:val="0"/>
          <w:numId w:val="2"/>
        </w:numPr>
        <w:spacing w:after="60"/>
      </w:pPr>
      <w:r>
        <w:t xml:space="preserve">Validity: minimum 120 days from proposal due date.</w:t>
      </w:r>
    </w:p>
    <w:p>
      <w:pPr>
        <w:pStyle w:val="ListParagraph"/>
        <w:numPr>
          <w:ilvl w:val="0"/>
          <w:numId w:val="2"/>
        </w:numPr>
        <w:spacing w:after="60"/>
      </w:pPr>
      <w:r>
        <w:t xml:space="preserve">Payment: maximum 20% advance against bank guarantee; 60% against delivery documents; 20% on provisional acceptance after performance tests. Alternative schedules may be proposed but will be evaluated.</w:t>
      </w:r>
    </w:p>
    <w:p>
      <w:pPr>
        <w:pStyle w:val="ListParagraph"/>
        <w:numPr>
          <w:ilvl w:val="0"/>
          <w:numId w:val="2"/>
        </w:numPr>
        <w:spacing w:after="60"/>
      </w:pPr>
      <w:r>
        <w:t xml:space="preserve">LD cap: 10% of contract value (Section 5); delivery delay LDs: 0.5% per week, capped at 7.5%.</w:t>
      </w:r>
    </w:p>
    <w:p>
      <w:pPr>
        <w:pStyle w:val="ListParagraph"/>
        <w:numPr>
          <w:ilvl w:val="0"/>
          <w:numId w:val="2"/>
        </w:numPr>
        <w:spacing w:after="60"/>
      </w:pPr>
      <w:r>
        <w:t xml:space="preserve">Natural gas burner conversion: itemized as a separately exercisable option with price validity of 36 months.</w:t>
      </w:r>
    </w:p>
    <w:p>
      <w:pPr>
        <w:pStyle w:val="ListParagraph"/>
        <w:numPr>
          <w:ilvl w:val="0"/>
          <w:numId w:val="2"/>
        </w:numPr>
        <w:spacing w:after="60"/>
      </w:pPr>
      <w:r>
        <w:t xml:space="preserve">Optional: annual service contract proposal (years 1–3) to be quoted separately.</w:t>
      </w:r>
    </w:p>
    <w:p>
      <w:pPr>
        <w:pStyle w:val="Heading1"/>
      </w:pPr>
      <w:r>
        <w:t xml:space="preserve">8. Evaluation Criteria</w:t>
      </w:r>
    </w:p>
    <w:p>
      <w:pPr>
        <w:spacing w:after="120"/>
      </w:pPr>
      <w:r>
        <w:t xml:space="preserve">Proposals will be scored against the weighted matrix below. MPF reserves the right to award to other than the lowest-price bidder, to award in whole or in part, or to reject all proposals.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026"/>
      </w:tblGrid>
      <w:tr>
        <w:tc>
          <w:tcPr>
            <w:tcW w:type="dxa" w:w="5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Criterion</w:t>
            </w:r>
          </w:p>
        </w:tc>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Weight</w:t>
            </w:r>
          </w:p>
        </w:tc>
        <w:tc>
          <w:tcPr>
            <w:tcW w:type="dxa" w:w="2026"/>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19"/>
                <w:szCs w:val="19"/>
              </w:rPr>
              <w:t xml:space="preserve">Notes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Technical compliance with Sections 3–5 (incl. sizing logic and culinary steam 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30%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Clause-by-clause compliance matrix required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Total landed cost / lifecycle cost (5-yr fuel + maintenance)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25%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Efficiency at part load weighted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Delivery schedule and credibility vs. 19 Oct 2026 site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Production slot evidence preferred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Warranty (Morocco coverage) and local service capability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Response times, parts stock location</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References in food / pet food 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10%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Min. 3 references, contactable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Documentation completeness and refurbished risk profile (if applicable)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w:t>
            </w:r>
          </w:p>
        </w:tc>
      </w:tr>
    </w:tbl>
    <w:p>
      <w:pPr>
        <w:spacing w:after="160"/>
      </w:pPr>
    </w:p>
    <w:p>
      <w:pPr>
        <w:spacing w:after="120"/>
      </w:pPr>
      <w:r>
        <w:t xml:space="preserve">Bidders must include a clause-by-clause compliance matrix (Comply / Partial / Deviate) covering every requirement of Sections 3, 4, and 5. Any deviation must include a technical justification and, where relevant, a price impact.</w:t>
      </w:r>
    </w:p>
    <w:p>
      <w:pPr>
        <w:pStyle w:val="Heading1"/>
      </w:pPr>
      <w:r>
        <w:t xml:space="preserve">9. Submission Instructions</w:t>
      </w:r>
    </w:p>
    <w:p>
      <w:pPr>
        <w:spacing w:after="120"/>
      </w:pPr>
      <w:r>
        <w:t xml:space="preserve">Proposals shall be submitted electronically in PDF (with the pricing table additionally in Excel) to the MPF procurement contact named in the transmittal email, no later than 9 July 2026, 17:00 GMT+1. Proposals may be submitted in English or French.</w:t>
      </w:r>
    </w:p>
    <w:p>
      <w:pPr>
        <w:spacing w:after="120"/>
      </w:pPr>
      <w:r>
        <w:t xml:space="preserve">Required proposal contents:</w:t>
      </w:r>
    </w:p>
    <w:p>
      <w:pPr>
        <w:pStyle w:val="ListParagraph"/>
        <w:numPr>
          <w:ilvl w:val="0"/>
          <w:numId w:val="2"/>
        </w:numPr>
        <w:spacing w:after="60"/>
      </w:pPr>
      <w:r>
        <w:t xml:space="preserve">Cover letter and executive summary (max 2 pages).</w:t>
      </w:r>
    </w:p>
    <w:p>
      <w:pPr>
        <w:pStyle w:val="ListParagraph"/>
        <w:numPr>
          <w:ilvl w:val="0"/>
          <w:numId w:val="2"/>
        </w:numPr>
        <w:spacing w:after="60"/>
      </w:pPr>
      <w:r>
        <w:t xml:space="preserve">Technical proposal with sizing note, P&amp;IDs, GA drawings, and utility requirements.</w:t>
      </w:r>
    </w:p>
    <w:p>
      <w:pPr>
        <w:pStyle w:val="ListParagraph"/>
        <w:numPr>
          <w:ilvl w:val="0"/>
          <w:numId w:val="2"/>
        </w:numPr>
        <w:spacing w:after="60"/>
      </w:pPr>
      <w:r>
        <w:t xml:space="preserve">Clause-by-clause compliance matrix (Sections 3–5).</w:t>
      </w:r>
    </w:p>
    <w:p>
      <w:pPr>
        <w:pStyle w:val="ListParagraph"/>
        <w:numPr>
          <w:ilvl w:val="0"/>
          <w:numId w:val="2"/>
        </w:numPr>
        <w:spacing w:after="60"/>
      </w:pPr>
      <w:r>
        <w:t xml:space="preserve">Performance guarantee confirmation table (Section 5).</w:t>
      </w:r>
    </w:p>
    <w:p>
      <w:pPr>
        <w:pStyle w:val="ListParagraph"/>
        <w:numPr>
          <w:ilvl w:val="0"/>
          <w:numId w:val="2"/>
        </w:numPr>
        <w:spacing w:after="60"/>
      </w:pPr>
      <w:r>
        <w:t xml:space="preserve">Itemized pricing per Section 7, plus declared exclusions with budget estimates.</w:t>
      </w:r>
    </w:p>
    <w:p>
      <w:pPr>
        <w:pStyle w:val="ListParagraph"/>
        <w:numPr>
          <w:ilvl w:val="0"/>
          <w:numId w:val="2"/>
        </w:numPr>
        <w:spacing w:after="60"/>
      </w:pPr>
      <w:r>
        <w:t xml:space="preserve">Delivery schedule with production slot evidence and commissioning plan.</w:t>
      </w:r>
    </w:p>
    <w:p>
      <w:pPr>
        <w:pStyle w:val="ListParagraph"/>
        <w:numPr>
          <w:ilvl w:val="0"/>
          <w:numId w:val="2"/>
        </w:numPr>
        <w:spacing w:after="60"/>
      </w:pPr>
      <w:r>
        <w:t xml:space="preserve">Warranty statement with explicit Morocco coverage and service organization details.</w:t>
      </w:r>
    </w:p>
    <w:p>
      <w:pPr>
        <w:pStyle w:val="ListParagraph"/>
        <w:numPr>
          <w:ilvl w:val="0"/>
          <w:numId w:val="2"/>
        </w:numPr>
        <w:spacing w:after="60"/>
      </w:pPr>
      <w:r>
        <w:t xml:space="preserve">Documentation dossier index (Section 4).</w:t>
      </w:r>
    </w:p>
    <w:p>
      <w:pPr>
        <w:pStyle w:val="ListParagraph"/>
        <w:numPr>
          <w:ilvl w:val="0"/>
          <w:numId w:val="2"/>
        </w:numPr>
        <w:spacing w:after="60"/>
      </w:pPr>
      <w:r>
        <w:t xml:space="preserve">References (minimum 3, food or pet food industry preferred).</w:t>
      </w:r>
    </w:p>
    <w:p>
      <w:pPr>
        <w:pStyle w:val="ListParagraph"/>
        <w:numPr>
          <w:ilvl w:val="0"/>
          <w:numId w:val="2"/>
        </w:numPr>
        <w:spacing w:after="60"/>
      </w:pPr>
      <w:r>
        <w:t xml:space="preserve">For refurbished offers: full inspection report and provenance file (Section 6).</w:t>
      </w:r>
    </w:p>
    <w:p>
      <w:pPr>
        <w:pStyle w:val="Heading2"/>
      </w:pPr>
      <w:r>
        <w:t xml:space="preserve">9.1 General conditions</w:t>
      </w:r>
    </w:p>
    <w:p>
      <w:pPr>
        <w:spacing w:after="120"/>
      </w:pPr>
      <w:r>
        <w:t xml:space="preserve">This RFP is not an offer to contract. MPF is not liable for any costs incurred in proposal preparation. All information contained herein is confidential and provided solely for proposal preparation. Questions must be submitted in writing by 22 June 2026; answers will be shared with all bidders without identifying the source. Contact with MPF personnel other than the designated procurement contact regarding this RFP is prohibited during the tender period.</w:t>
      </w:r>
    </w:p>
    <w:p>
      <w:pPr>
        <w:spacing w:after="160"/>
      </w:pPr>
    </w:p>
    <w:p>
      <w:pPr>
        <w:spacing w:after="120"/>
      </w:pPr>
      <w:r>
        <w:rPr>
          <w:b/>
          <w:bCs/>
        </w:rPr>
        <w:t xml:space="preserve">Issued by:</w:t>
      </w:r>
    </w:p>
    <w:p>
      <w:pPr>
        <w:spacing w:after="120"/>
      </w:pPr>
      <w:r>
        <w:t xml:space="preserve">Sam ElAribi — Founding Technical Lead &amp; General Manager, Morocco Pet Factory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Morocco Pet Factory — Request for Proposal — Page </w:t>
    </w:r>
    <w:r>
      <w:rPr>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5B6B7A"/>
        <w:sz w:val="16"/>
        <w:szCs w:val="16"/>
      </w:rPr>
      <w:t xml:space="preserve">MPF-BLR-RFP-2026-002</w:t>
    </w:r>
    <w:r>
      <w:rPr>
        <w:color w:val="5B6B7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2"/>
      </w:pBd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5B6B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2026-06-11T17:20:00.264Z</dcterms:created>
  <dcterms:modified xsi:type="dcterms:W3CDTF">2026-06-11T17:20:00.264Z</dcterms:modified>
</cp:coreProperties>
</file>

<file path=docProps/custom.xml><?xml version="1.0" encoding="utf-8"?>
<Properties xmlns="http://schemas.openxmlformats.org/officeDocument/2006/custom-properties" xmlns:vt="http://schemas.openxmlformats.org/officeDocument/2006/docPropsVTypes"/>
</file>