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3A5F"/>
          <w:sz w:val="40"/>
          <w:szCs w:val="40"/>
        </w:rPr>
        <w:t xml:space="preserve">MOROCCO PET FACTORY</w:t>
      </w:r>
    </w:p>
    <w:p>
      <w:pPr>
        <w:spacing w:after="600"/>
        <w:jc w:val="center"/>
      </w:pPr>
      <w:r>
        <w:rPr>
          <w:i/>
          <w:iCs/>
          <w:color w:val="5B6B7A"/>
          <w:sz w:val="22"/>
          <w:szCs w:val="22"/>
        </w:rPr>
        <w:t xml:space="preserve">Joint-venture Petland Maroc × Normandie Pet Food — Région de Marrakech, Maroc</w:t>
      </w:r>
    </w:p>
    <w:p>
      <w:pPr>
        <w:pBdr>
          <w:top w:val="single" w:color="1F3A5F" w:sz="8" w:space="8"/>
          <w:bottom w:val="single" w:color="1F3A5F" w:sz="8" w:space="8"/>
        </w:pBdr>
        <w:spacing w:after="200"/>
        <w:jc w:val="center"/>
      </w:pPr>
      <w:r>
        <w:rPr>
          <w:b/>
          <w:bCs/>
          <w:color w:val="1F3A5F"/>
          <w:sz w:val="56"/>
          <w:szCs w:val="56"/>
        </w:rPr>
        <w:t xml:space="preserve">APPEL D’OFFRES</w:t>
      </w:r>
    </w:p>
    <w:p>
      <w:pPr>
        <w:spacing w:after="1200"/>
        <w:jc w:val="center"/>
      </w:pPr>
      <w:r>
        <w:rPr>
          <w:sz w:val="28"/>
          <w:szCs w:val="28"/>
        </w:rPr>
        <w:t xml:space="preserve">Système de chaudières vapeur industrielles — Fourniture, livraison, mise en service et formation</w:t>
      </w:r>
    </w:p>
    <w:p>
      <w:pPr>
        <w:spacing w:after="80"/>
        <w:jc w:val="center"/>
      </w:pPr>
      <w:r>
        <w:rPr>
          <w:b/>
          <w:bCs/>
          <w:sz w:val="24"/>
          <w:szCs w:val="24"/>
        </w:rPr>
        <w:t xml:space="preserve">Référence : MPF-BLR-RFP-2026-002</w:t>
      </w:r>
    </w:p>
    <w:p>
      <w:pPr>
        <w:spacing w:after="80"/>
        <w:jc w:val="center"/>
      </w:pPr>
      <w:r>
        <w:rPr>
          <w:sz w:val="22"/>
          <w:szCs w:val="22"/>
        </w:rPr>
        <w:t xml:space="preserve">Date d’émission : 11 juin 2026</w:t>
      </w:r>
    </w:p>
    <w:p>
      <w:pPr>
        <w:spacing w:after="80"/>
        <w:jc w:val="center"/>
      </w:pPr>
      <w:r>
        <w:rPr>
          <w:sz w:val="22"/>
          <w:szCs w:val="22"/>
        </w:rPr>
        <w:t xml:space="preserve">Date limite de remise des offres : 9 juillet 2026, 17 h 00 (GMT+1, Maroc)</w:t>
      </w:r>
    </w:p>
    <w:p>
      <w:pPr>
        <w:spacing w:after="1000"/>
        <w:jc w:val="center"/>
      </w:pPr>
      <w:r>
        <w:rPr>
          <w:i/>
          <w:iCs/>
          <w:color w:val="5B6B7A"/>
          <w:sz w:val="20"/>
          <w:szCs w:val="20"/>
        </w:rPr>
        <w:t xml:space="preserve">Remplace et consolide la consultation MPF-BLR-RFQ-2026-001</w:t>
      </w:r>
    </w:p>
    <w:p>
      <w:pPr>
        <w:jc w:val="center"/>
      </w:pPr>
      <w:r>
        <w:rPr>
          <w:color w:val="5B6B7A"/>
          <w:sz w:val="18"/>
          <w:szCs w:val="18"/>
        </w:rPr>
        <w:t xml:space="preserve">CONFIDENTIEL — Diffusé uniquement aux soumissionnaires invités. Le contenu ne peut être divulgué à des tiers sans l’accord écrit de Morocco Pet Factory.</w:t>
      </w:r>
    </w:p>
    <w:p>
      <w:r>
        <w:br w:type="page"/>
      </w:r>
    </w:p>
    <w:p>
      <w:pPr>
        <w:pStyle w:val="Heading1"/>
      </w:pPr>
      <w:r>
        <w:t xml:space="preserve">1. Introduction et contexte du projet</w:t>
      </w:r>
    </w:p>
    <w:p>
      <w:pPr>
        <w:spacing w:after="120"/>
      </w:pPr>
      <w:r>
        <w:t xml:space="preserve">Morocco Pet Factory (« MPF » ou « l’Acheteur ») est une usine neuve de fabrication d’aliments secs pour animaux de compagnie, située dans la région de Marrakech, Maroc, exploitant une ligne d’extrusion bi-vis de 5 t/h. L’usine produira des croquettes sèches pour le marché marocain et pour l’export vers l’Union européenne, les États-Unis, le Golfe et certains marchés africains. La mise en service de l’usine est prévue au T4 2026.</w:t>
      </w:r>
    </w:p>
    <w:p>
      <w:pPr>
        <w:spacing w:after="120"/>
      </w:pPr>
      <w:r>
        <w:t xml:space="preserve">MPF invite les fournisseurs qualifiés à soumettre une offre ferme portant sur l’étude, la fourniture, la livraison, la mise en service et la formation relatives à un système complet de production de vapeur. La vapeur est une utilité en contact alimentaire dans cette usine : elle est injectée directement dans le conditionneur de l’extrudeur et doit donc satisfaire aux exigences de vapeur culinaire en plus des normes industrielles classiques.</w:t>
      </w:r>
    </w:p>
    <w:p>
      <w:pPr>
        <w:spacing w:after="120"/>
      </w:pPr>
      <w:r>
        <w:t xml:space="preserve">Le présent appel d’offres remplace la consultation MPF-BLR-RFQ-2026-001. Les soumissionnaires ayant répondu à la consultation précédente peuvent soumettre une offre actualisée ; toutes les offres doivent être conformes au présent document. Les offres datées de plus de six (6) mois ne seront pas évaluées — tous les prix doivent être actuels et valides au minimum 120 jours à compter de la date limite de remise.</w:t>
      </w:r>
    </w:p>
    <w:p>
      <w:pPr>
        <w:pStyle w:val="Heading2"/>
      </w:pPr>
      <w:r>
        <w:t xml:space="preserve">1.1 Calendrier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2600"/>
        <w:gridCol w:w="3026"/>
      </w:tblGrid>
      <w:tr>
        <w:tc>
          <w:tcPr>
            <w:tcW w:type="dxa" w:w="34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vAlign w:val="center"/>
          </w:tcPr>
          <w:p>
            <w:r>
              <w:rPr>
                <w:b/>
                <w:bCs/>
                <w:color w:val="FFFFFF"/>
                <w:sz w:val="19"/>
                <w:szCs w:val="19"/>
              </w:rPr>
              <w:t xml:space="preserve">Jalon</w:t>
            </w:r>
          </w:p>
        </w:tc>
        <w:tc>
          <w:tcPr>
            <w:tcW w:type="dxa" w:w="26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vAlign w:val="center"/>
          </w:tcPr>
          <w:p>
            <w:r>
              <w:rPr>
                <w:b/>
                <w:bCs/>
                <w:color w:val="FFFFFF"/>
                <w:sz w:val="19"/>
                <w:szCs w:val="19"/>
              </w:rPr>
              <w:t xml:space="preserve">Date</w:t>
            </w:r>
          </w:p>
        </w:tc>
        <w:tc>
          <w:tcPr>
            <w:tcW w:type="dxa" w:w="3026"/>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vAlign w:val="center"/>
          </w:tcPr>
          <w:p>
            <w:r>
              <w:rPr>
                <w:b/>
                <w:bCs/>
                <w:color w:val="FFFFFF"/>
                <w:sz w:val="19"/>
                <w:szCs w:val="19"/>
              </w:rPr>
              <w:t xml:space="preserve">Remarques</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9"/>
                <w:szCs w:val="19"/>
              </w:rPr>
              <w:t xml:space="preserve">Émission de l’appel d’offres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11 juin 2026</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9"/>
                <w:szCs w:val="19"/>
              </w:rPr>
              <w:t xml:space="preserve">Questions des soumissionnaires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22 juin 2026</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Par écrit, par e-mail</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9"/>
                <w:szCs w:val="19"/>
              </w:rPr>
              <w:t xml:space="preserve">Réponses de MPF</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26 juin 2026</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Diffusées à tous les soumissionnaires</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9"/>
                <w:szCs w:val="19"/>
              </w:rPr>
              <w:t xml:space="preserve">Remise des offres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9 juillet 2026, 17 h 00 GMT+1</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Soumission électronique</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9"/>
                <w:szCs w:val="19"/>
              </w:rPr>
              <w:t xml:space="preserve">Clarifications / négociation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13–24 juillet 2026</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Soumissionnaires présélectionnés</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9"/>
                <w:szCs w:val="19"/>
              </w:rPr>
              <w:t xml:space="preserve">Attribution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31 juillet 2026</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Objectif</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9"/>
                <w:szCs w:val="19"/>
              </w:rPr>
              <w:t xml:space="preserve">Livraison sur site (DAP Marrakech)</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Au plus tard le 19 octobre 2026</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Contrainte ferme</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9"/>
                <w:szCs w:val="19"/>
              </w:rPr>
              <w:t xml:space="preserve">Mise en service du système vapeur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T4 2026</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Alignée sur le démarrage usine</w:t>
            </w:r>
          </w:p>
        </w:tc>
      </w:tr>
    </w:tbl>
    <w:p>
      <w:pPr>
        <w:spacing w:after="160"/>
      </w:pPr>
    </w:p>
    <w:p>
      <w:pPr>
        <w:spacing w:after="120"/>
      </w:pPr>
      <w:r>
        <w:t xml:space="preserve">La date d’attribution est fixée par le chemin critique du projet : la chaudière doit être attribuée au plus tard huit (8) semaines avant la fenêtre de mise en service vapeur. Les soumissionnaires dans l’impossibilité de respecter la date de livraison doivent le déclarer explicitement ; tout délai conditionnel ou non déclaré sera traité comme non conforme.</w:t>
      </w:r>
    </w:p>
    <w:p>
      <w:pPr>
        <w:pStyle w:val="Heading1"/>
      </w:pPr>
      <w:r>
        <w:t xml:space="preserve">2. Périmètre de fourniture</w:t>
      </w:r>
    </w:p>
    <w:p>
      <w:pPr>
        <w:spacing w:after="120"/>
      </w:pPr>
      <w:r>
        <w:t xml:space="preserve">L’offre doit couvrir un ensemble complet de production de vapeur, livrable clé en main, comprenant :</w:t>
      </w:r>
    </w:p>
    <w:p>
      <w:pPr>
        <w:pStyle w:val="ListParagraph"/>
        <w:numPr>
          <w:ilvl w:val="0"/>
          <w:numId w:val="2"/>
        </w:numPr>
        <w:spacing w:after="60"/>
      </w:pPr>
      <w:r>
        <w:t xml:space="preserve">Deux (2) unités de production de vapeur selon les variantes de la Section 3.1 : Option A (2 chaudières à tubes de fumée, trois parcours, foyer immergé) ou Option B (1 chaudière à tubes de fumée + 1 générateur instantané), avec économiseur(s) intégré(s) le cas échéant.</w:t>
      </w:r>
    </w:p>
    <w:p>
      <w:pPr>
        <w:pStyle w:val="ListParagraph"/>
        <w:numPr>
          <w:ilvl w:val="0"/>
          <w:numId w:val="2"/>
        </w:numPr>
        <w:spacing w:after="60"/>
      </w:pPr>
      <w:r>
        <w:t xml:space="preserve">Brûleurs bicombustibles (GPL principal / prêt gaz naturel), avec manageur de combustion et régulation O₂.</w:t>
      </w:r>
    </w:p>
    <w:p>
      <w:pPr>
        <w:pStyle w:val="ListParagraph"/>
        <w:numPr>
          <w:ilvl w:val="0"/>
          <w:numId w:val="2"/>
        </w:numPr>
        <w:spacing w:after="60"/>
      </w:pPr>
      <w:r>
        <w:t xml:space="preserve">Armoires de commande avec chaîne de sécurité selon EN 12953 / catégorie DESP applicable, aptes à une exploitation sans surveillance permanente 72 h (BoSB 72h ou équivalent).</w:t>
      </w:r>
    </w:p>
    <w:p>
      <w:pPr>
        <w:pStyle w:val="ListParagraph"/>
        <w:numPr>
          <w:ilvl w:val="0"/>
          <w:numId w:val="2"/>
        </w:numPr>
        <w:spacing w:after="60"/>
      </w:pPr>
      <w:r>
        <w:t xml:space="preserve">Système d’eau alimentaire : bâche alimentaire avec dégazeur thermique, adoucisseur duplex, osmoseur inverse et skid de dosage chimique limité aux produits conformes NSF H1 / 21 CFR 173.310.</w:t>
      </w:r>
    </w:p>
    <w:p>
      <w:pPr>
        <w:pStyle w:val="ListParagraph"/>
        <w:numPr>
          <w:ilvl w:val="0"/>
          <w:numId w:val="2"/>
        </w:numPr>
        <w:spacing w:after="60"/>
      </w:pPr>
      <w:r>
        <w:t xml:space="preserve">Barillet de distribution vapeur et train de conditionnement vapeur culinaire : séparateur cyclonique, filtre hygiénique (≤ 2 µm) et spécification de tuyauterie inox 316L jusqu’à l’entrée du conditionneur de l’extrudeur.</w:t>
      </w:r>
    </w:p>
    <w:p>
      <w:pPr>
        <w:pStyle w:val="ListParagraph"/>
        <w:numPr>
          <w:ilvl w:val="0"/>
          <w:numId w:val="2"/>
        </w:numPr>
        <w:spacing w:after="60"/>
      </w:pPr>
      <w:r>
        <w:t xml:space="preserve">Instrumentation : débitmètre vapeur et débitmètre eau alimentaire par chaudière (Endress+Hauser ou équivalent), compatibles avec l’intégration MES (environnement Siemens S7-1500 / PROFINET).</w:t>
      </w:r>
    </w:p>
    <w:p>
      <w:pPr>
        <w:pStyle w:val="ListParagraph"/>
        <w:numPr>
          <w:ilvl w:val="0"/>
          <w:numId w:val="2"/>
        </w:numPr>
        <w:spacing w:after="60"/>
      </w:pPr>
      <w:r>
        <w:t xml:space="preserve">Lot de pièces de rechange recommandées pour deux ans, détaillé poste par poste.</w:t>
      </w:r>
    </w:p>
    <w:p>
      <w:pPr>
        <w:pStyle w:val="ListParagraph"/>
        <w:numPr>
          <w:ilvl w:val="0"/>
          <w:numId w:val="2"/>
        </w:numPr>
        <w:spacing w:after="60"/>
      </w:pPr>
      <w:r>
        <w:t xml:space="preserve">Dossier documentaire complet (Section 4), y compris dossiers de conformité CE/DESP.</w:t>
      </w:r>
    </w:p>
    <w:p>
      <w:pPr>
        <w:pStyle w:val="ListParagraph"/>
        <w:numPr>
          <w:ilvl w:val="0"/>
          <w:numId w:val="2"/>
        </w:numPr>
        <w:spacing w:after="60"/>
      </w:pPr>
      <w:r>
        <w:t xml:space="preserve">Fret, assurance et livraison DAP site MPF, région de Marrakech.</w:t>
      </w:r>
    </w:p>
    <w:p>
      <w:pPr>
        <w:pStyle w:val="ListParagraph"/>
        <w:numPr>
          <w:ilvl w:val="0"/>
          <w:numId w:val="2"/>
        </w:numPr>
        <w:spacing w:after="60"/>
      </w:pPr>
      <w:r>
        <w:t xml:space="preserve">Supervision de montage, mise en service, essais de performance et formation des opérateurs (minimum 10 jours sur site, dispensée en français).</w:t>
      </w:r>
    </w:p>
    <w:p>
      <w:pPr>
        <w:pStyle w:val="Heading2"/>
      </w:pPr>
      <w:r>
        <w:t xml:space="preserve">2.1 Exclusions — déclaration obligatoire</w:t>
      </w:r>
    </w:p>
    <w:p>
      <w:pPr>
        <w:spacing w:after="120"/>
      </w:pPr>
      <w:r>
        <w:t xml:space="preserve">Tout poste exclu du périmètre du soumissionnaire (ex. : tuyauteries d’interconnexion, génie civil, cuve GPL, réseau gaz, alimentation électrique des armoires, droits de douane) doit être explicitement listé dans une section « Exclusions » dédiée, avec une estimation budgétaire indicative pour chaque poste exclu. Les offres comportant des exclusions tacites seront pénalisées à l’évaluation.</w:t>
      </w:r>
    </w:p>
    <w:p>
      <w:pPr>
        <w:pStyle w:val="Heading1"/>
      </w:pPr>
      <w:r>
        <w:t xml:space="preserve">3. Spécifications techniques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c>
          <w:tcPr>
            <w:tcW w:type="dxa" w:w="34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vAlign w:val="center"/>
          </w:tcPr>
          <w:p>
            <w:r>
              <w:rPr>
                <w:b/>
                <w:bCs/>
                <w:color w:val="FFFFFF"/>
                <w:sz w:val="19"/>
                <w:szCs w:val="19"/>
              </w:rPr>
              <w:t xml:space="preserve">Paramètre</w:t>
            </w:r>
          </w:p>
        </w:tc>
        <w:tc>
          <w:tcPr>
            <w:tcW w:type="dxa" w:w="5626"/>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vAlign w:val="center"/>
          </w:tcPr>
          <w:p>
            <w:r>
              <w:rPr>
                <w:b/>
                <w:bCs/>
                <w:color w:val="FFFFFF"/>
                <w:sz w:val="19"/>
                <w:szCs w:val="19"/>
              </w:rPr>
              <w:t xml:space="preserve">Exigence</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9"/>
                <w:szCs w:val="19"/>
              </w:rPr>
              <w:t xml:space="preserve">Demande vapeur de pointe</w:t>
            </w:r>
          </w:p>
        </w:tc>
        <w:tc>
          <w:tcPr>
            <w:tcW w:type="dxa" w:w="5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2 600 kg/h de vapeur saturée (pointe procédé, une ligne)</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9"/>
                <w:szCs w:val="19"/>
              </w:rPr>
              <w:t xml:space="preserve">Configuration</w:t>
            </w:r>
          </w:p>
        </w:tc>
        <w:tc>
          <w:tcPr>
            <w:tcW w:type="dxa" w:w="5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2 unités, logique N+1 : chaque unité ≥ 60 % de la pointe de dimensionnement ; puissance nominale combinée 110–120 % de la pointe</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9"/>
                <w:szCs w:val="19"/>
              </w:rPr>
              <w:t xml:space="preserve">Taille unitaire indicative</w:t>
            </w:r>
          </w:p>
        </w:tc>
        <w:tc>
          <w:tcPr>
            <w:tcW w:type="dxa" w:w="5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1 600–2 000 kg/h par chaudière. Tout surdimensionnement (ex. : 2 × 5 000 kg/h) doit être justifié techniquement ; les pénalités d’exploitation à faible charge prolongée (rendement de combustion, condensation au foyer) seront évaluées</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9"/>
                <w:szCs w:val="19"/>
              </w:rPr>
              <w:t xml:space="preserve">Type de chaudière</w:t>
            </w:r>
          </w:p>
        </w:tc>
        <w:tc>
          <w:tcPr>
            <w:tcW w:type="dxa" w:w="5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Tubes de fumée, trois parcours, foyer immergé (wet-back)</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9"/>
                <w:szCs w:val="19"/>
              </w:rPr>
              <w:t xml:space="preserve">Pression de calcul</w:t>
            </w:r>
          </w:p>
        </w:tc>
        <w:tc>
          <w:tcPr>
            <w:tcW w:type="dxa" w:w="5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10 barg ; pression de service 7–8 barg, vapeur saturée</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9"/>
                <w:szCs w:val="19"/>
              </w:rPr>
              <w:t xml:space="preserve">Plage de modulation</w:t>
            </w:r>
          </w:p>
        </w:tc>
        <w:tc>
          <w:tcPr>
            <w:tcW w:type="dxa" w:w="5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 5:1 par unité, modulante</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9"/>
                <w:szCs w:val="19"/>
              </w:rPr>
              <w:t xml:space="preserve">Combustible</w:t>
            </w:r>
          </w:p>
        </w:tc>
        <w:tc>
          <w:tcPr>
            <w:tcW w:type="dxa" w:w="5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Brûleur bicombustible : GPL (propane) au démarrage, convertible au gaz naturel sans remplacement du brûleur. Périmètre et coût de conversion à détailler</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9"/>
                <w:szCs w:val="19"/>
              </w:rPr>
              <w:t xml:space="preserve">Rendement thermique</w:t>
            </w:r>
          </w:p>
        </w:tc>
        <w:tc>
          <w:tcPr>
            <w:tcW w:type="dxa" w:w="5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 94 % (sur PCI, avec économiseur, à 100 % de charge, gaz naturel) ; ≥ 93 % au GPL</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9"/>
                <w:szCs w:val="19"/>
              </w:rPr>
              <w:t xml:space="preserve">Économiseur</w:t>
            </w:r>
          </w:p>
        </w:tc>
        <w:tc>
          <w:tcPr>
            <w:tcW w:type="dxa" w:w="5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Intégré, avec bypass</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9"/>
                <w:szCs w:val="19"/>
              </w:rPr>
              <w:t xml:space="preserve">Traîne d’eau alimentaire</w:t>
            </w:r>
          </w:p>
        </w:tc>
        <w:tc>
          <w:tcPr>
            <w:tcW w:type="dxa" w:w="5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Adoucisseur duplex + osmose inverse + dégazeur thermique (O₂ ≤ 0,02 mg/L en sortie de dégazeur)</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9"/>
                <w:szCs w:val="19"/>
              </w:rPr>
              <w:t xml:space="preserve">Produits de traitement d’eau</w:t>
            </w:r>
          </w:p>
        </w:tc>
        <w:tc>
          <w:tcPr>
            <w:tcW w:type="dxa" w:w="5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Exclusivement des produits enregistrés NSF H1 et conformes au 21 CFR 173.310. Noms commerciaux, numéros d’enregistrement et taux de dosage à préciser</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9"/>
                <w:szCs w:val="19"/>
              </w:rPr>
              <w:t xml:space="preserve">Train vapeur culinaire</w:t>
            </w:r>
          </w:p>
        </w:tc>
        <w:tc>
          <w:tcPr>
            <w:tcW w:type="dxa" w:w="5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Séparateur cyclonique → filtre hygiénique ≤ 2 µm → distribution inox 316L, selon 3-A Accepted Practice 609-03</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9"/>
                <w:szCs w:val="19"/>
              </w:rPr>
              <w:t xml:space="preserve">Qualité de vapeur au point d’utilisation</w:t>
            </w:r>
          </w:p>
        </w:tc>
        <w:tc>
          <w:tcPr>
            <w:tcW w:type="dxa" w:w="5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Selon EN 285 : titre de vapeur (siccité) ≥ 0,95 ; gaz incondensables ≤ 3,5 mL/100 mL ; surchauffe ≤ 25 °C</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9"/>
                <w:szCs w:val="19"/>
              </w:rPr>
              <w:t xml:space="preserve">Contrôle-commande</w:t>
            </w:r>
          </w:p>
        </w:tc>
        <w:tc>
          <w:tcPr>
            <w:tcW w:type="dxa" w:w="5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Armoire avec interface PROFINET ou contacts secs + 4–20 mA pour intégration MES ; capacité de télésurveillance</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9"/>
                <w:szCs w:val="19"/>
              </w:rPr>
              <w:t xml:space="preserve">Alimentation électrique</w:t>
            </w:r>
          </w:p>
        </w:tc>
        <w:tc>
          <w:tcPr>
            <w:tcW w:type="dxa" w:w="5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400 V / 50 Hz, triphasé + N + PE</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9"/>
                <w:szCs w:val="19"/>
              </w:rPr>
              <w:t xml:space="preserve">Conditions ambiantes de calcul</w:t>
            </w:r>
          </w:p>
        </w:tc>
        <w:tc>
          <w:tcPr>
            <w:tcW w:type="dxa" w:w="5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Région de Marrakech : ambiance de calcul jusqu’à 45 °C, environnement poussiéreux ; ventilation et indice IP des armoires adaptés</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9"/>
                <w:szCs w:val="19"/>
              </w:rPr>
              <w:t xml:space="preserve">Bruit</w:t>
            </w:r>
          </w:p>
        </w:tc>
        <w:tc>
          <w:tcPr>
            <w:tcW w:type="dxa" w:w="5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 85 dB(A) à 1 m, champ libre</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9"/>
                <w:szCs w:val="19"/>
              </w:rPr>
              <w:t xml:space="preserve">Émissions</w:t>
            </w:r>
          </w:p>
        </w:tc>
        <w:tc>
          <w:tcPr>
            <w:tcW w:type="dxa" w:w="5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NOx ≤ 100 mg/Nm³ (à 3 % O₂, gaz naturel) ; CO ≤ 100 mg/Nm³</w:t>
            </w:r>
          </w:p>
        </w:tc>
      </w:tr>
    </w:tbl>
    <w:p>
      <w:pPr>
        <w:spacing w:after="160"/>
      </w:pPr>
    </w:p>
    <w:p>
      <w:pPr>
        <w:spacing w:after="120"/>
      </w:pPr>
      <w:r>
        <w:t xml:space="preserve">Les soumissionnaires fourniront une note de dimensionnement démontrant que la configuration proposée couvre la pointe de 2 600 kg/h avec une unité hors service à charge usine réduite, et présentant le rendement prévu aux points de charge 25 %, 50 %, 75 % et 100 %.</w:t>
      </w:r>
    </w:p>
    <w:p>
      <w:pPr>
        <w:pStyle w:val="Heading2"/>
      </w:pPr>
      <w:r>
        <w:t xml:space="preserve">3.1 Variantes de configuration — Option A et Option B</w:t>
      </w:r>
    </w:p>
    <w:p>
      <w:pPr>
        <w:spacing w:after="120"/>
      </w:pPr>
      <w:r>
        <w:rPr>
          <w:b/>
          <w:bCs/>
        </w:rPr>
        <w:t xml:space="preserve">Les soumissionnaires peuvent remettre l’Option A, l’Option B, ou les deux. Chaque option doit être chiffrée comme un ensemble complet et autonome selon la Section 7.</w:t>
      </w:r>
    </w:p>
    <w:p>
      <w:pPr>
        <w:spacing w:after="120"/>
      </w:pPr>
      <w:r>
        <w:t xml:space="preserve">Option A (cas de base) : 2 chaudières à tubes de fumée selon les spécifications ci-dessus.</w:t>
      </w:r>
    </w:p>
    <w:p>
      <w:pPr>
        <w:spacing w:after="120"/>
      </w:pPr>
      <w:r>
        <w:t xml:space="preserve">Option B (variante hybride) : 1 chaudière à tubes de fumée (charge de base, env. 2 000 kg/h) + 1 générateur de vapeur instantané (type serpentin / à passage unique, ex. Clayton, Certuss, classe Babcock Wanson ESM, ≥ 1 600 kg/h), exploité en unité d’appoint/secours. Les exigences complémentaires suivantes s’appliquent à l’Option B :</w:t>
      </w:r>
    </w:p>
    <w:p>
      <w:pPr>
        <w:pStyle w:val="ListParagraph"/>
        <w:numPr>
          <w:ilvl w:val="0"/>
          <w:numId w:val="2"/>
        </w:numPr>
        <w:spacing w:after="60"/>
      </w:pPr>
      <w:r>
        <w:t xml:space="preserve">Démarrage à froid jusqu’à vapeur en pression en ≤ 10 minutes pour le générateur instantané ; pertes en attente (standby) à quantifier dans l’analyse de coût du cycle de vie.</w:t>
      </w:r>
    </w:p>
    <w:p>
      <w:pPr>
        <w:pStyle w:val="ListParagraph"/>
        <w:numPr>
          <w:ilvl w:val="0"/>
          <w:numId w:val="2"/>
        </w:numPr>
        <w:spacing w:after="60"/>
      </w:pPr>
      <w:r>
        <w:t xml:space="preserve">Essai de suivi de charge en solo (essai de réception obligatoire) : le générateur instantané seul devra alimenter le conditionneur de l’extrudeur sur une rampe de démarrage représentative et un profil de changement de SKU (échelons de ±30 % de sa puissance nominale), en maintenant la pression à ±0,3 bar et la qualité de vapeur EN 285 complète (PG-04, PG-05, PG-06) au point d’utilisation.</w:t>
      </w:r>
    </w:p>
    <w:p>
      <w:pPr>
        <w:pStyle w:val="ListParagraph"/>
        <w:numPr>
          <w:ilvl w:val="0"/>
          <w:numId w:val="2"/>
        </w:numPr>
        <w:spacing w:after="60"/>
      </w:pPr>
      <w:r>
        <w:t xml:space="preserve">Performance du séparateur : le soumissionnaire précisera le type de séparateur et le titre de vapeur garanti à 25 %, 50 % et 100 % de charge, générateur instantané fonctionnant seul.</w:t>
      </w:r>
    </w:p>
    <w:p>
      <w:pPr>
        <w:pStyle w:val="ListParagraph"/>
        <w:numPr>
          <w:ilvl w:val="0"/>
          <w:numId w:val="2"/>
        </w:numPr>
        <w:spacing w:after="60"/>
      </w:pPr>
      <w:r>
        <w:t xml:space="preserve">Eau alimentaire : la qualité perméat d’osmose inverse est obligatoire pour le circuit serpentin ; le soumissionnaire indiquera les limites maximales de TDS, dureté et silice, et confirmera la compatibilité avec la traîne d’eau alimentaire commune de la Section 3.</w:t>
      </w:r>
    </w:p>
    <w:p>
      <w:pPr>
        <w:pStyle w:val="ListParagraph"/>
        <w:numPr>
          <w:ilvl w:val="0"/>
          <w:numId w:val="2"/>
        </w:numPr>
        <w:spacing w:after="60"/>
      </w:pPr>
      <w:r>
        <w:t xml:space="preserve">Contrôle-commande harmonisé : les deux unités seront supervisées par un automate maître commun avec séquencement automatique principal/secours (lead/lag) et une interface MES unique ; deux systèmes de contrôle indépendants et non communicants ne sont pas acceptables.</w:t>
      </w:r>
    </w:p>
    <w:p>
      <w:pPr>
        <w:pStyle w:val="ListParagraph"/>
        <w:numPr>
          <w:ilvl w:val="0"/>
          <w:numId w:val="2"/>
        </w:numPr>
        <w:spacing w:after="60"/>
      </w:pPr>
      <w:r>
        <w:t xml:space="preserve">Pièces et service : un lot de pièces de rechange combiné de deux ans couvrant les deux technologies, et un point de responsabilité de service unique pour l’ensemble, même si les deux unités proviennent de constructeurs différents.</w:t>
      </w:r>
    </w:p>
    <w:p>
      <w:pPr>
        <w:pStyle w:val="ListParagraph"/>
        <w:numPr>
          <w:ilvl w:val="0"/>
          <w:numId w:val="2"/>
        </w:numPr>
        <w:spacing w:after="60"/>
      </w:pPr>
      <w:r>
        <w:t xml:space="preserve">Comparaison de coût du cycle de vie : les offres en Option B doivent inclure une comparaison des coûts d’exploitation sur 5 ans vs Option A, intégrant explicitement les pertes en attente / maintien en température de l’unité de secours, les pertes par purges, et la maintenance des deux technologies.</w:t>
      </w:r>
    </w:p>
    <w:p>
      <w:pPr>
        <w:spacing w:after="120"/>
      </w:pPr>
      <w:r>
        <w:t xml:space="preserve">Les garanties de performance PG-01 à PG-11 (Section 5) s’appliquent aux deux options. Pour l’Option B, les PG-01, PG-04, PG-05 et PG-06 devront en outre être démontrées avec le générateur instantané fonctionnant seul.</w:t>
      </w:r>
    </w:p>
    <w:p>
      <w:pPr>
        <w:pStyle w:val="Heading1"/>
      </w:pPr>
      <w:r>
        <w:t xml:space="preserve">4. Exigences réglementaires et de sécurité sanitaire</w:t>
      </w:r>
    </w:p>
    <w:p>
      <w:pPr>
        <w:spacing w:after="120"/>
      </w:pPr>
      <w:r>
        <w:t xml:space="preserve">MPF exporte vers des marchés régulés par la FDA et l’UE et opère sous FSSC 22000 et 21 CFR Part 507 (FSMA — Preventive Controls for Animal Food). Il n’existe pas de « chaudière certifiée FDA » ; la conformité est démontrée par un dossier documentaire. L’attributaire devra livrer avec l’équipement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vAlign w:val="center"/>
          </w:tcPr>
          <w:p>
            <w:r>
              <w:rPr>
                <w:b/>
                <w:bCs/>
                <w:color w:val="FFFFFF"/>
                <w:sz w:val="19"/>
                <w:szCs w:val="19"/>
              </w:rPr>
              <w:t xml:space="preserve">Élément du dossier</w:t>
            </w:r>
          </w:p>
        </w:tc>
        <w:tc>
          <w:tcPr>
            <w:tcW w:type="dxa" w:w="6226"/>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vAlign w:val="center"/>
          </w:tcPr>
          <w:p>
            <w:r>
              <w:rPr>
                <w:b/>
                <w:bCs/>
                <w:color w:val="FFFFFF"/>
                <w:sz w:val="19"/>
                <w:szCs w:val="19"/>
              </w:rPr>
              <w:t xml:space="preserve">Exigence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9"/>
                <w:szCs w:val="19"/>
              </w:rPr>
              <w:t xml:space="preserve">Conformité CE / DESP</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Déclaration de conformité selon la directive DESP 2014/68/UE, certificats de l’organisme notifié, notes de calcul, procès-verbaux d’épreuve hydraulique, certificats matière (EN 10204 3.1)</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9"/>
                <w:szCs w:val="19"/>
              </w:rPr>
              <w:t xml:space="preserve">Additifs d’eau de chaudière</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Attestation de conformité de tous les produits fournis/recommandés au 21 CFR 173.310 ; certificats d’enregistrement NSF H1</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9"/>
                <w:szCs w:val="19"/>
              </w:rPr>
              <w:t xml:space="preserve">Architecture vapeur culinaire</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P&amp;ID et nomenclature démontrant la conformité à la 3-A Accepted Practice 609-03, de la sortie chaudière à l’entrée du conditionneur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9"/>
                <w:szCs w:val="19"/>
              </w:rPr>
              <w:t xml:space="preserve">Protocole d’essai qualité vapeur</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Méthodes d’essai EN 285 pour la siccité, les incondensables et la surchauffe, à exécuter à la mise en service comme critères de réception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9"/>
                <w:szCs w:val="19"/>
              </w:rPr>
              <w:t xml:space="preserve">Soudage et matières</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DMOS/QMOS, qualifications des soudeurs, certificats matière 316L pour le train culinaire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9"/>
                <w:szCs w:val="19"/>
              </w:rPr>
              <w:t xml:space="preserve">Organes de sécurité</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Notes de dimensionnement et certificats des soupapes de sûreté, procès-verbaux d’essai du coffret de sécurité brûleur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9"/>
                <w:szCs w:val="19"/>
              </w:rPr>
              <w:t xml:space="preserve">Documentation d’exploitation</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Manuels d’exploitation et de maintenance en français et en anglais ; rapports de mise en service ; attestations de formation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9"/>
                <w:szCs w:val="19"/>
              </w:rPr>
              <w:t xml:space="preserve">Conformité marocaine</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Équipement importable et exploitable au titre de la réglementation marocaine des appareils à pression ; préciser l’assistance offerte pour les inspections/approbations locales</w:t>
            </w:r>
          </w:p>
        </w:tc>
      </w:tr>
    </w:tbl>
    <w:p>
      <w:pPr>
        <w:spacing w:after="160"/>
      </w:pPr>
    </w:p>
    <w:p>
      <w:pPr>
        <w:pStyle w:val="Heading2"/>
      </w:pPr>
      <w:r>
        <w:t xml:space="preserve">4.1 Garantie — couverture territoriale obligatoire</w:t>
      </w:r>
    </w:p>
    <w:p>
      <w:pPr>
        <w:spacing w:after="120"/>
      </w:pPr>
      <w:r>
        <w:t xml:space="preserve">La garantie doit couvrir explicitement l’installation et l’exploitation au Maroc. Toute clause de garantie limitée au Royaume-Uni/UE ou au marché domestique du fournisseur est non conforme et entraînera le rejet de l’offre si elle n’est pas corrigée. Garantie minimale : 24 mois à compter de la réception de mise en service ou 30 mois à compter de la livraison, au premier terme échu. L’offre doit désigner l’organisation de service locale ou régionale en charge de l’exécution de la garantie, la localisation du stock de pièces et les délais d’intervention garantis.</w:t>
      </w:r>
    </w:p>
    <w:p>
      <w:pPr>
        <w:pStyle w:val="Heading1"/>
      </w:pPr>
      <w:r>
        <w:t xml:space="preserve">5. Garanties contractuelles de performance</w:t>
      </w:r>
    </w:p>
    <w:p>
      <w:pPr>
        <w:spacing w:after="120"/>
      </w:pPr>
      <w:r>
        <w:t xml:space="preserve">Les garanties de performance (PG) ci-dessous seront intégrées au contrat d’achat. Chaque PG doit être confirmée individuellement dans l’offre. L’absence de confirmation d’une PG, ou sa substitution par des « valeurs typiques », rend l’offre non conforme. Des pénalités libératoires s’appliquent comme indiqué ; plafond total : 10 % de la valeur du contrat. Le non-respect persistant des PG-01, PG-04, PG-05 ou PG-06 après deux tentatives de remédiation constitue un motif de refus de l’équipement.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900"/>
        <w:gridCol w:w="2700"/>
        <w:gridCol w:w="2526"/>
      </w:tblGrid>
      <w:tr>
        <w:tc>
          <w:tcPr>
            <w:tcW w:type="dxa" w:w="9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vAlign w:val="center"/>
          </w:tcPr>
          <w:p>
            <w:r>
              <w:rPr>
                <w:b/>
                <w:bCs/>
                <w:color w:val="FFFFFF"/>
                <w:sz w:val="19"/>
                <w:szCs w:val="19"/>
              </w:rPr>
              <w:t xml:space="preserve">PG</w:t>
            </w:r>
          </w:p>
        </w:tc>
        <w:tc>
          <w:tcPr>
            <w:tcW w:type="dxa" w:w="29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vAlign w:val="center"/>
          </w:tcPr>
          <w:p>
            <w:r>
              <w:rPr>
                <w:b/>
                <w:bCs/>
                <w:color w:val="FFFFFF"/>
                <w:sz w:val="19"/>
                <w:szCs w:val="19"/>
              </w:rPr>
              <w:t xml:space="preserve">Garantie</w:t>
            </w:r>
          </w:p>
        </w:tc>
        <w:tc>
          <w:tcPr>
            <w:tcW w:type="dxa" w:w="27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vAlign w:val="center"/>
          </w:tcPr>
          <w:p>
            <w:r>
              <w:rPr>
                <w:b/>
                <w:bCs/>
                <w:color w:val="FFFFFF"/>
                <w:sz w:val="19"/>
                <w:szCs w:val="19"/>
              </w:rPr>
              <w:t xml:space="preserve">Méthode de démonstration</w:t>
            </w:r>
          </w:p>
        </w:tc>
        <w:tc>
          <w:tcPr>
            <w:tcW w:type="dxa" w:w="2526"/>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vAlign w:val="center"/>
          </w:tcPr>
          <w:p>
            <w:r>
              <w:rPr>
                <w:b/>
                <w:bCs/>
                <w:color w:val="FFFFFF"/>
                <w:sz w:val="19"/>
                <w:szCs w:val="19"/>
              </w:rPr>
              <w:t xml:space="preserve">Pénalité</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9"/>
                <w:szCs w:val="19"/>
              </w:rPr>
              <w:t xml:space="preserve">PG-01</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Débit vapeur nominal par unité, en continu</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Essai de capacité de 72 h à la mise en service, débitmètre vapeur étalonné</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0,5 % de la valeur du contrat par 1 % d’écart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9"/>
                <w:szCs w:val="19"/>
              </w:rPr>
              <w:t xml:space="preserve">PG-02</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Rendement thermique ≥ 94 % GN / ≥ 93 % GPL (PCI, 100 % de charge)</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Méthode indirecte selon EN 12953-11</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0,5 % par 0,5 point d’écart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9"/>
                <w:szCs w:val="19"/>
              </w:rPr>
              <w:t xml:space="preserve">PG-03</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Plage de modulation ≥ 5:1, stable</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Essai en paliers de charge, sans instabilité de flamme ni mise en sécurité</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Remédiation aux frais du fournisseur</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9"/>
                <w:szCs w:val="19"/>
              </w:rPr>
              <w:t xml:space="preserve">PG-04</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Titre de vapeur (siccité) ≥ 0,95 au point d’utilisation</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Calorimètre à détente / méthode par condensation selon EN 285</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Remédiation aux frais du fournisseur ; réception suspendue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9"/>
                <w:szCs w:val="19"/>
              </w:rPr>
              <w:t xml:space="preserve">PG-05</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Gaz incondensables ≤ 3,5 mL/100 mL</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Essai incondensables EN 285</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Remédiation aux frais du fournisseur ; réception suspendue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9"/>
                <w:szCs w:val="19"/>
              </w:rPr>
              <w:t xml:space="preserve">PG-06</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Surchauffe ≤ 25 °C au point d’utilisation</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Méthode température EN 285</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Remédiation aux frais du fournisseur ; réception suspendue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9"/>
                <w:szCs w:val="19"/>
              </w:rPr>
              <w:t xml:space="preserve">PG-07</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O₂ dissous en sortie de dégazeur ≤ 0,02 mg/L</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Mesure colorimétrique / électrochimique à la mise en service</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Remédiation aux frais du fournisseur</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9"/>
                <w:szCs w:val="19"/>
              </w:rPr>
              <w:t xml:space="preserve">PG-08</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NOx ≤ 100 mg/Nm³, CO ≤ 100 mg/Nm³ (3 % O₂, GN)</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Analyse des fumées à 50 % et 100 % de charge</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Remédiation aux frais du fournisseur</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9"/>
                <w:szCs w:val="19"/>
              </w:rPr>
              <w:t xml:space="preserve">PG-09</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Bruit ≤ 85 dB(A) à 1 m</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Campagne de mesures acoustiques à la mise en service</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Remédiation aux frais du fournisseur</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9"/>
                <w:szCs w:val="19"/>
              </w:rPr>
              <w:t xml:space="preserve">PG-10</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Disponibilité ≥ 98 % sur un essai de fiabilité de 30 jours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Indisponibilités journalisées imputables au périmètre fournisseur</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0,25 % par 0,5 point d’écart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9"/>
                <w:szCs w:val="19"/>
              </w:rPr>
              <w:t xml:space="preserve">PG-11</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Vapeur conforme aux spécifications sous 15 jours ouvrés après achèvement mécanique</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Journal de mise en service</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0,25 % par semaine de retard</w:t>
            </w:r>
          </w:p>
        </w:tc>
      </w:tr>
    </w:tbl>
    <w:p>
      <w:pPr>
        <w:pStyle w:val="Heading1"/>
      </w:pPr>
      <w:r>
        <w:t xml:space="preserve">6. Équipement reconditionné — voie alternative</w:t>
      </w:r>
    </w:p>
    <w:p>
      <w:pPr>
        <w:spacing w:after="120"/>
      </w:pPr>
      <w:r>
        <w:t xml:space="preserve">MPF examinera les offres d’équipement reconditionné, clairement identifiées comme variantes, évaluées sur la base du coût total rendu (prix d’achat + reconditionnement + brûleur/contrôle neufs si nécessaire + inspection + certification + logistique + mise en service + provision pour risques). À titre indicatif, une offre reconditionnée ne présente d’intérêt qu’en dessous d’environ 65–70 % du coût total rendu de l’équivalent neuf.</w:t>
      </w:r>
    </w:p>
    <w:p>
      <w:pPr>
        <w:pStyle w:val="Heading2"/>
      </w:pPr>
      <w:r>
        <w:t xml:space="preserve">6.1 Conditions éliminatoires</w:t>
      </w:r>
    </w:p>
    <w:p>
      <w:pPr>
        <w:pStyle w:val="ListParagraph"/>
        <w:numPr>
          <w:ilvl w:val="0"/>
          <w:numId w:val="2"/>
        </w:numPr>
        <w:spacing w:after="60"/>
      </w:pPr>
      <w:r>
        <w:t xml:space="preserve">Antécédent de combustion au fioul lourd (HFO) ou au charbon à un quelconque moment de la vie de l’unité.</w:t>
      </w:r>
    </w:p>
    <w:p>
      <w:pPr>
        <w:pStyle w:val="ListParagraph"/>
        <w:numPr>
          <w:ilvl w:val="0"/>
          <w:numId w:val="2"/>
        </w:numPr>
        <w:spacing w:after="60"/>
      </w:pPr>
      <w:r>
        <w:t xml:space="preserve">Documentation CE/DESP, notes de calcul ou certificats matière manquants ou incomplets.</w:t>
      </w:r>
    </w:p>
    <w:p>
      <w:pPr>
        <w:pStyle w:val="ListParagraph"/>
        <w:numPr>
          <w:ilvl w:val="0"/>
          <w:numId w:val="2"/>
        </w:numPr>
        <w:spacing w:after="60"/>
      </w:pPr>
      <w:r>
        <w:t xml:space="preserve">Âge de l’unité supérieur à 10 ans depuis la première mise en service.</w:t>
      </w:r>
    </w:p>
    <w:p>
      <w:pPr>
        <w:pStyle w:val="ListParagraph"/>
        <w:numPr>
          <w:ilvl w:val="0"/>
          <w:numId w:val="2"/>
        </w:numPr>
        <w:spacing w:after="60"/>
      </w:pPr>
      <w:r>
        <w:t xml:space="preserve">Absence de traçabilité vérifiable : provenance, historique d’inspection ou procès-verbaux d’épreuve.</w:t>
      </w:r>
    </w:p>
    <w:p>
      <w:pPr>
        <w:spacing w:after="120"/>
      </w:pPr>
      <w:r>
        <w:t xml:space="preserve">Les offres reconditionnées doivent inclure un rapport d’inspection complet (visuel interne, relevé d’épaisseurs par ultrasons, état des tubes), le périmètre de reconditionnement, et les mêmes garanties de performance que l’équipement neuf (Section 5), sans réduction des conditions de garantie.</w:t>
      </w:r>
    </w:p>
    <w:p>
      <w:pPr>
        <w:pStyle w:val="Heading1"/>
      </w:pPr>
      <w:r>
        <w:t xml:space="preserve">7. Exigences commerciales et bordereau de prix</w:t>
      </w:r>
    </w:p>
    <w:p>
      <w:pPr>
        <w:spacing w:after="120"/>
      </w:pPr>
      <w:r>
        <w:t xml:space="preserve">Tous les prix en MAD ou EUR, fermes et définitifs, DAP site MPF (Incoterms 2020), hors TVA marocaine et droits de douane (à indiquer séparément pour information). Les prix doivent suivre la structure ci-dessous ; les offres au forfait global seront retournées pour ventilation.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6100"/>
        <w:gridCol w:w="2026"/>
      </w:tblGrid>
      <w:tr>
        <w:tc>
          <w:tcPr>
            <w:tcW w:type="dxa" w:w="9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vAlign w:val="center"/>
          </w:tcPr>
          <w:p>
            <w:r>
              <w:rPr>
                <w:b/>
                <w:bCs/>
                <w:color w:val="FFFFFF"/>
                <w:sz w:val="19"/>
                <w:szCs w:val="19"/>
              </w:rPr>
              <w:t xml:space="preserve">Poste</w:t>
            </w:r>
          </w:p>
        </w:tc>
        <w:tc>
          <w:tcPr>
            <w:tcW w:type="dxa" w:w="61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vAlign w:val="center"/>
          </w:tcPr>
          <w:p>
            <w:r>
              <w:rPr>
                <w:b/>
                <w:bCs/>
                <w:color w:val="FFFFFF"/>
                <w:sz w:val="19"/>
                <w:szCs w:val="19"/>
              </w:rPr>
              <w:t xml:space="preserve">Désignation</w:t>
            </w:r>
          </w:p>
        </w:tc>
        <w:tc>
          <w:tcPr>
            <w:tcW w:type="dxa" w:w="2026"/>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vAlign w:val="center"/>
          </w:tcPr>
          <w:p>
            <w:r>
              <w:rPr>
                <w:b/>
                <w:bCs/>
                <w:color w:val="FFFFFF"/>
                <w:sz w:val="19"/>
                <w:szCs w:val="19"/>
              </w:rPr>
              <w:t xml:space="preserve">Prix</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9"/>
                <w:szCs w:val="19"/>
              </w:rPr>
              <w:t xml:space="preserve">1</w:t>
            </w:r>
          </w:p>
        </w:tc>
        <w:tc>
          <w:tcPr>
            <w:tcW w:type="dxa" w:w="6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Chaudière(s) — corps de chauffe, robinetterie, calorifuge, par unité</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9"/>
                <w:szCs w:val="19"/>
              </w:rPr>
              <w:t xml:space="preserve">2</w:t>
            </w:r>
          </w:p>
        </w:tc>
        <w:tc>
          <w:tcPr>
            <w:tcW w:type="dxa" w:w="6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Brûleur(s) bicombustible(s), manageur de combustion, régulation O₂, rampe gaz</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9"/>
                <w:szCs w:val="19"/>
              </w:rPr>
              <w:t xml:space="preserve">3</w:t>
            </w:r>
          </w:p>
        </w:tc>
        <w:tc>
          <w:tcPr>
            <w:tcW w:type="dxa" w:w="6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Économiseur(s) intégré(s) avec bypass</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9"/>
                <w:szCs w:val="19"/>
              </w:rPr>
              <w:t xml:space="preserve">4</w:t>
            </w:r>
          </w:p>
        </w:tc>
        <w:tc>
          <w:tcPr>
            <w:tcW w:type="dxa" w:w="6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Armoire(s) de commande avec chaîne de sécurité et interface MES</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9"/>
                <w:szCs w:val="19"/>
              </w:rPr>
              <w:t xml:space="preserve">5</w:t>
            </w:r>
          </w:p>
        </w:tc>
        <w:tc>
          <w:tcPr>
            <w:tcW w:type="dxa" w:w="6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Bâche alimentaire avec dégazeur thermique</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9"/>
                <w:szCs w:val="19"/>
              </w:rPr>
              <w:t xml:space="preserve">6</w:t>
            </w:r>
          </w:p>
        </w:tc>
        <w:tc>
          <w:tcPr>
            <w:tcW w:type="dxa" w:w="6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Traitement d’eau : adoucisseur duplex + osmoseur</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9"/>
                <w:szCs w:val="19"/>
              </w:rPr>
              <w:t xml:space="preserve">7</w:t>
            </w:r>
          </w:p>
        </w:tc>
        <w:tc>
          <w:tcPr>
            <w:tcW w:type="dxa" w:w="6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Skid de dosage chimique + première charge de produits NSF H1</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9"/>
                <w:szCs w:val="19"/>
              </w:rPr>
              <w:t xml:space="preserve">8</w:t>
            </w:r>
          </w:p>
        </w:tc>
        <w:tc>
          <w:tcPr>
            <w:tcW w:type="dxa" w:w="6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Barillet de distribution vapeur</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9"/>
                <w:szCs w:val="19"/>
              </w:rPr>
              <w:t xml:space="preserve">9</w:t>
            </w:r>
          </w:p>
        </w:tc>
        <w:tc>
          <w:tcPr>
            <w:tcW w:type="dxa" w:w="6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Train vapeur culinaire : séparateur, filtre hygiénique, spécification 316L</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9"/>
                <w:szCs w:val="19"/>
              </w:rPr>
              <w:t xml:space="preserve">10</w:t>
            </w:r>
          </w:p>
        </w:tc>
        <w:tc>
          <w:tcPr>
            <w:tcW w:type="dxa" w:w="6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Instrumentation : débitmètres vapeur + eau alimentaire, par chaudière</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9"/>
                <w:szCs w:val="19"/>
              </w:rPr>
              <w:t xml:space="preserve">11</w:t>
            </w:r>
          </w:p>
        </w:tc>
        <w:tc>
          <w:tcPr>
            <w:tcW w:type="dxa" w:w="6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Lot de pièces de rechange deux ans (annexe détaillée)</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9"/>
                <w:szCs w:val="19"/>
              </w:rPr>
              <w:t xml:space="preserve">12</w:t>
            </w:r>
          </w:p>
        </w:tc>
        <w:tc>
          <w:tcPr>
            <w:tcW w:type="dxa" w:w="6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Dossier documentaire incl. dossiers CE/DESP (Section 4)</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9"/>
                <w:szCs w:val="19"/>
              </w:rPr>
              <w:t xml:space="preserve">13</w:t>
            </w:r>
          </w:p>
        </w:tc>
        <w:tc>
          <w:tcPr>
            <w:tcW w:type="dxa" w:w="6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Fret, assurance, livraison DAP Marrakech</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9"/>
                <w:szCs w:val="19"/>
              </w:rPr>
              <w:t xml:space="preserve">14</w:t>
            </w:r>
          </w:p>
        </w:tc>
        <w:tc>
          <w:tcPr>
            <w:tcW w:type="dxa" w:w="6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Supervision de montage, mise en service, essais de performance, formation (≥ 10 jours, en français)</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
            </w:r>
          </w:p>
        </w:tc>
      </w:tr>
    </w:tbl>
    <w:p>
      <w:pPr>
        <w:spacing w:after="160"/>
      </w:pPr>
    </w:p>
    <w:p>
      <w:pPr>
        <w:pStyle w:val="Heading2"/>
      </w:pPr>
      <w:r>
        <w:t xml:space="preserve">7.1 Conditions commerciales</w:t>
      </w:r>
    </w:p>
    <w:p>
      <w:pPr>
        <w:pStyle w:val="ListParagraph"/>
        <w:numPr>
          <w:ilvl w:val="0"/>
          <w:numId w:val="2"/>
        </w:numPr>
        <w:spacing w:after="60"/>
      </w:pPr>
      <w:r>
        <w:t xml:space="preserve">Validité : 120 jours minimum à compter de la date limite de remise.</w:t>
      </w:r>
    </w:p>
    <w:p>
      <w:pPr>
        <w:pStyle w:val="ListParagraph"/>
        <w:numPr>
          <w:ilvl w:val="0"/>
          <w:numId w:val="2"/>
        </w:numPr>
        <w:spacing w:after="60"/>
      </w:pPr>
      <w:r>
        <w:t xml:space="preserve">Paiement : acompte maximal de 20 % contre garantie bancaire ; 60 % contre documents d’expédition ; 20 % à la réception provisoire après essais de performance. Des échéanciers alternatifs peuvent être proposés mais seront évalués.</w:t>
      </w:r>
    </w:p>
    <w:p>
      <w:pPr>
        <w:pStyle w:val="ListParagraph"/>
        <w:numPr>
          <w:ilvl w:val="0"/>
          <w:numId w:val="2"/>
        </w:numPr>
        <w:spacing w:after="60"/>
      </w:pPr>
      <w:r>
        <w:t xml:space="preserve">Plafond des pénalités : 10 % de la valeur du contrat (Section 5) ; pénalités de retard de livraison : 0,5 % par semaine, plafonnées à 7,5 %.</w:t>
      </w:r>
    </w:p>
    <w:p>
      <w:pPr>
        <w:pStyle w:val="ListParagraph"/>
        <w:numPr>
          <w:ilvl w:val="0"/>
          <w:numId w:val="2"/>
        </w:numPr>
        <w:spacing w:after="60"/>
      </w:pPr>
      <w:r>
        <w:t xml:space="preserve">Conversion du brûleur au gaz naturel : à chiffrer comme option exerçable séparément, validité de prix 36 mois.</w:t>
      </w:r>
    </w:p>
    <w:p>
      <w:pPr>
        <w:pStyle w:val="ListParagraph"/>
        <w:numPr>
          <w:ilvl w:val="0"/>
          <w:numId w:val="2"/>
        </w:numPr>
        <w:spacing w:after="60"/>
      </w:pPr>
      <w:r>
        <w:t xml:space="preserve">Option : proposition de contrat de maintenance annuel (années 1–3) à chiffrer séparément.</w:t>
      </w:r>
    </w:p>
    <w:p>
      <w:pPr>
        <w:pStyle w:val="Heading1"/>
      </w:pPr>
      <w:r>
        <w:t xml:space="preserve">8. Critères d’évaluation</w:t>
      </w:r>
    </w:p>
    <w:p>
      <w:pPr>
        <w:spacing w:after="120"/>
      </w:pPr>
      <w:r>
        <w:t xml:space="preserve">Les offres seront notées selon la matrice pondérée ci-dessous. MPF se réserve le droit d’attribuer le marché à un soumissionnaire autre que le moins-disant, d’attribuer en tout ou partie, ou de rejeter toutes les offres.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00"/>
        <w:gridCol w:w="1800"/>
        <w:gridCol w:w="2026"/>
      </w:tblGrid>
      <w:tr>
        <w:tc>
          <w:tcPr>
            <w:tcW w:type="dxa" w:w="52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vAlign w:val="center"/>
          </w:tcPr>
          <w:p>
            <w:r>
              <w:rPr>
                <w:b/>
                <w:bCs/>
                <w:color w:val="FFFFFF"/>
                <w:sz w:val="19"/>
                <w:szCs w:val="19"/>
              </w:rPr>
              <w:t xml:space="preserve">Critère</w:t>
            </w:r>
          </w:p>
        </w:tc>
        <w:tc>
          <w:tcPr>
            <w:tcW w:type="dxa" w:w="18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vAlign w:val="center"/>
          </w:tcPr>
          <w:p>
            <w:r>
              <w:rPr>
                <w:b/>
                <w:bCs/>
                <w:color w:val="FFFFFF"/>
                <w:sz w:val="19"/>
                <w:szCs w:val="19"/>
              </w:rPr>
              <w:t xml:space="preserve">Pondération</w:t>
            </w:r>
          </w:p>
        </w:tc>
        <w:tc>
          <w:tcPr>
            <w:tcW w:type="dxa" w:w="2026"/>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vAlign w:val="center"/>
          </w:tcPr>
          <w:p>
            <w:r>
              <w:rPr>
                <w:b/>
                <w:bCs/>
                <w:color w:val="FFFFFF"/>
                <w:sz w:val="19"/>
                <w:szCs w:val="19"/>
              </w:rPr>
              <w:t xml:space="preserve">Remarques</w:t>
            </w:r>
          </w:p>
        </w:tc>
      </w:tr>
      <w:tr>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9"/>
                <w:szCs w:val="19"/>
              </w:rPr>
              <w:t xml:space="preserve">Conformité technique aux Sections 3–5 (incl. note de dimensionnement et train vapeur culinaire)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30 %</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Matrice de conformité clause par clause exigée</w:t>
            </w:r>
          </w:p>
        </w:tc>
      </w:tr>
      <w:tr>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9"/>
                <w:szCs w:val="19"/>
              </w:rPr>
              <w:t xml:space="preserve">Coût total rendu / coût du cycle de vie (combustible + maintenance sur 5 ans)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25 %</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Rendement à charge partielle pondéré</w:t>
            </w:r>
          </w:p>
        </w:tc>
      </w:tr>
      <w:tr>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9"/>
                <w:szCs w:val="19"/>
              </w:rPr>
              <w:t xml:space="preserve">Délai de livraison et crédibilité vs date site du 19 oct. 2026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15 %</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Preuve de créneau de production appréciée</w:t>
            </w:r>
          </w:p>
        </w:tc>
      </w:tr>
      <w:tr>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9"/>
                <w:szCs w:val="19"/>
              </w:rPr>
              <w:t xml:space="preserve">Garantie (couverture Maroc) et capacité de service local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15 %</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Délais d’intervention, localisation du stock de pièces</w:t>
            </w:r>
          </w:p>
        </w:tc>
      </w:tr>
      <w:tr>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9"/>
                <w:szCs w:val="19"/>
              </w:rPr>
              <w:t xml:space="preserve">Références en agroalimentaire / petfood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10 %</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Min. 3 références, contactables</w:t>
            </w:r>
          </w:p>
        </w:tc>
      </w:tr>
      <w:tr>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9"/>
                <w:szCs w:val="19"/>
              </w:rPr>
              <w:t xml:space="preserve">Complétude documentaire et profil de risque du reconditionné (le cas échéant)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5 %</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w:t>
            </w:r>
          </w:p>
        </w:tc>
      </w:tr>
    </w:tbl>
    <w:p>
      <w:pPr>
        <w:spacing w:after="160"/>
      </w:pPr>
    </w:p>
    <w:p>
      <w:pPr>
        <w:spacing w:after="120"/>
      </w:pPr>
      <w:r>
        <w:t xml:space="preserve">Les soumissionnaires doivent joindre une matrice de conformité clause par clause (Conforme / Partiel / Dérogation) couvrant chaque exigence des Sections 3, 4 et 5. Toute dérogation doit être accompagnée d’une justification technique et, le cas échéant, d’un impact prix.</w:t>
      </w:r>
    </w:p>
    <w:p>
      <w:pPr>
        <w:pStyle w:val="Heading1"/>
      </w:pPr>
      <w:r>
        <w:t xml:space="preserve">9. Modalités de soumission</w:t>
      </w:r>
    </w:p>
    <w:p>
      <w:pPr>
        <w:spacing w:after="120"/>
      </w:pPr>
      <w:r>
        <w:t xml:space="preserve">Les offres sont à remettre par voie électronique au format PDF (le bordereau de prix également au format Excel) au contact achats MPF désigné dans le courriel de transmission, au plus tard le 9 juillet 2026 à 17 h 00 GMT+1. Les offres peuvent être rédigées en français ou en anglais.</w:t>
      </w:r>
    </w:p>
    <w:p>
      <w:pPr>
        <w:spacing w:after="120"/>
      </w:pPr>
      <w:r>
        <w:t xml:space="preserve">Contenu exigé de l’offre :</w:t>
      </w:r>
    </w:p>
    <w:p>
      <w:pPr>
        <w:pStyle w:val="ListParagraph"/>
        <w:numPr>
          <w:ilvl w:val="0"/>
          <w:numId w:val="2"/>
        </w:numPr>
        <w:spacing w:after="60"/>
      </w:pPr>
      <w:r>
        <w:t xml:space="preserve">Lettre d’accompagnement et synthèse (2 pages maximum).</w:t>
      </w:r>
    </w:p>
    <w:p>
      <w:pPr>
        <w:pStyle w:val="ListParagraph"/>
        <w:numPr>
          <w:ilvl w:val="0"/>
          <w:numId w:val="2"/>
        </w:numPr>
        <w:spacing w:after="60"/>
      </w:pPr>
      <w:r>
        <w:t xml:space="preserve">Offre technique avec note de dimensionnement, P&amp;ID, plans d’ensemble et besoins en utilités.</w:t>
      </w:r>
    </w:p>
    <w:p>
      <w:pPr>
        <w:pStyle w:val="ListParagraph"/>
        <w:numPr>
          <w:ilvl w:val="0"/>
          <w:numId w:val="2"/>
        </w:numPr>
        <w:spacing w:after="60"/>
      </w:pPr>
      <w:r>
        <w:t xml:space="preserve">Matrice de conformité clause par clause (Sections 3–5).</w:t>
      </w:r>
    </w:p>
    <w:p>
      <w:pPr>
        <w:pStyle w:val="ListParagraph"/>
        <w:numPr>
          <w:ilvl w:val="0"/>
          <w:numId w:val="2"/>
        </w:numPr>
        <w:spacing w:after="60"/>
      </w:pPr>
      <w:r>
        <w:t xml:space="preserve">Tableau de confirmation des garanties de performance (Section 5).</w:t>
      </w:r>
    </w:p>
    <w:p>
      <w:pPr>
        <w:pStyle w:val="ListParagraph"/>
        <w:numPr>
          <w:ilvl w:val="0"/>
          <w:numId w:val="2"/>
        </w:numPr>
        <w:spacing w:after="60"/>
      </w:pPr>
      <w:r>
        <w:t xml:space="preserve">Bordereau de prix selon la Section 7, plus exclusions déclarées avec estimations budgétaires.</w:t>
      </w:r>
    </w:p>
    <w:p>
      <w:pPr>
        <w:pStyle w:val="ListParagraph"/>
        <w:numPr>
          <w:ilvl w:val="0"/>
          <w:numId w:val="2"/>
        </w:numPr>
        <w:spacing w:after="60"/>
      </w:pPr>
      <w:r>
        <w:t xml:space="preserve">Planning de livraison avec preuve de créneau de production et plan de mise en service.</w:t>
      </w:r>
    </w:p>
    <w:p>
      <w:pPr>
        <w:pStyle w:val="ListParagraph"/>
        <w:numPr>
          <w:ilvl w:val="0"/>
          <w:numId w:val="2"/>
        </w:numPr>
        <w:spacing w:after="60"/>
      </w:pPr>
      <w:r>
        <w:t xml:space="preserve">Attestation de garantie avec couverture Maroc explicite et organisation de service.</w:t>
      </w:r>
    </w:p>
    <w:p>
      <w:pPr>
        <w:pStyle w:val="ListParagraph"/>
        <w:numPr>
          <w:ilvl w:val="0"/>
          <w:numId w:val="2"/>
        </w:numPr>
        <w:spacing w:after="60"/>
      </w:pPr>
      <w:r>
        <w:t xml:space="preserve">Index du dossier documentaire (Section 4).</w:t>
      </w:r>
    </w:p>
    <w:p>
      <w:pPr>
        <w:pStyle w:val="ListParagraph"/>
        <w:numPr>
          <w:ilvl w:val="0"/>
          <w:numId w:val="2"/>
        </w:numPr>
        <w:spacing w:after="60"/>
      </w:pPr>
      <w:r>
        <w:t xml:space="preserve">Références (minimum 3, agroalimentaire ou petfood de préférence).</w:t>
      </w:r>
    </w:p>
    <w:p>
      <w:pPr>
        <w:pStyle w:val="ListParagraph"/>
        <w:numPr>
          <w:ilvl w:val="0"/>
          <w:numId w:val="2"/>
        </w:numPr>
        <w:spacing w:after="60"/>
      </w:pPr>
      <w:r>
        <w:t xml:space="preserve">Pour les offres reconditionnées : rapport d’inspection complet et dossier de provenance (Section 6).</w:t>
      </w:r>
    </w:p>
    <w:p>
      <w:pPr>
        <w:pStyle w:val="Heading2"/>
      </w:pPr>
      <w:r>
        <w:t xml:space="preserve">9.1 Conditions générales</w:t>
      </w:r>
    </w:p>
    <w:p>
      <w:pPr>
        <w:spacing w:after="120"/>
      </w:pPr>
      <w:r>
        <w:t xml:space="preserve">Le présent appel d’offres ne constitue pas une offre de contracter. MPF ne saurait être tenue responsable des coûts engagés pour la préparation des offres. Toutes les informations contenues dans ce document sont confidentielles et fournies aux seules fins de préparation des offres. Les questions doivent être soumises par écrit avant le 22 juin 2026 ; les réponses seront partagées avec tous les soumissionnaires sans identification de la source. Tout contact avec le personnel de MPF autre que le contact achats désigné, au sujet du présent appel d’offres, est interdit pendant la période de consultation.</w:t>
      </w:r>
    </w:p>
    <w:p>
      <w:pPr>
        <w:spacing w:after="160"/>
      </w:pPr>
    </w:p>
    <w:p>
      <w:pPr>
        <w:spacing w:after="120"/>
      </w:pPr>
      <w:r>
        <w:rPr>
          <w:b/>
          <w:bCs/>
        </w:rPr>
        <w:t xml:space="preserve">Émis par :</w:t>
      </w:r>
    </w:p>
    <w:p>
      <w:pPr>
        <w:spacing w:after="120"/>
      </w:pPr>
      <w:r>
        <w:t xml:space="preserve">Sam ElAribi — Founding Technical Lead &amp; General Manager, Morocco Pet Factory</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B7A"/>
        <w:sz w:val="16"/>
        <w:szCs w:val="16"/>
      </w:rPr>
      <w:t xml:space="preserve">Morocco Pet Factory — Appel d’Offres — Page </w:t>
    </w:r>
    <w:r>
      <w:rPr>
        <w:color w:val="5B6B7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2"/>
      </w:pBdr>
      <w:tabs>
        <w:tab w:val="right" w:pos="9026"/>
      </w:tabs>
    </w:pPr>
    <w:r>
      <w:rPr>
        <w:color w:val="5B6B7A"/>
        <w:sz w:val="16"/>
        <w:szCs w:val="16"/>
      </w:rPr>
      <w:t xml:space="preserve">MPF-BLR-RFP-2026-002 (FR)</w:t>
    </w:r>
    <w:r>
      <w:rPr>
        <w:color w:val="5B6B7A"/>
        <w:sz w:val="16"/>
        <w:szCs w:val="16"/>
      </w:rPr>
      <w:t xml:space="preserve">	CONFIDENTIEL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A5F" w:sz="6" w:space="2"/>
      </w:pBdr>
      <w:spacing w:after="200" w:before="320"/>
      <w:outlineLvl w:val="0"/>
    </w:pPr>
    <w:rPr>
      <w:rFonts w:ascii="Arial" w:cs="Arial" w:eastAsia="Arial" w:hAnsi="Arial"/>
      <w:b/>
      <w:bCs/>
      <w:color w:val="1F3A5F"/>
      <w:sz w:val="30"/>
      <w:szCs w:val="30"/>
    </w:rPr>
  </w:style>
  <w:style w:type="paragraph" w:styleId="Heading2">
    <w:name w:val="Heading 2"/>
    <w:basedOn w:val="Normal"/>
    <w:next w:val="Normal"/>
    <w:qFormat/>
    <w:pPr>
      <w:spacing w:after="140" w:before="240"/>
      <w:outlineLvl w:val="1"/>
    </w:pPr>
    <w:rPr>
      <w:rFonts w:ascii="Arial" w:cs="Arial" w:eastAsia="Arial" w:hAnsi="Arial"/>
      <w:b/>
      <w:bCs/>
      <w:color w:val="5B6B7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2026-06-11T20:00:10.844Z</dcterms:created>
  <dcterms:modified xsi:type="dcterms:W3CDTF">2026-06-11T20:00:10.844Z</dcterms:modified>
</cp:coreProperties>
</file>

<file path=docProps/custom.xml><?xml version="1.0" encoding="utf-8"?>
<Properties xmlns="http://schemas.openxmlformats.org/officeDocument/2006/custom-properties" xmlns:vt="http://schemas.openxmlformats.org/officeDocument/2006/docPropsVTypes"/>
</file>