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1A1A2E"/>
          <w:sz w:val="40"/>
          <w:szCs w:val="40"/>
        </w:rPr>
        <w:t xml:space="preserve">PET FACTORY MAROC</w:t>
      </w:r>
    </w:p>
    <w:p>
      <w:pPr>
        <w:spacing w:after="80" w:before="40"/>
      </w:pPr>
      <w:r>
        <w:rPr>
          <w:rFonts w:ascii="Calibri" w:cs="Calibri" w:eastAsia="Calibri" w:hAnsi="Calibri"/>
          <w:i/>
          <w:iCs/>
          <w:color w:val="C8102E"/>
          <w:sz w:val="22"/>
          <w:szCs w:val="22"/>
        </w:rPr>
        <w:t xml:space="preserve">Fabrication industrielle d’aliments pour animaux  |  Made in Morocco  |  Accès ALE États-Unis</w:t>
      </w:r>
    </w:p>
    <w:p>
      <w:pPr>
        <w:pBdr>
          <w:bottom w:val="single" w:color="C8102E" w:sz="12" w:space="1"/>
        </w:pBdr>
        <w:spacing w:after="160" w:before="0"/>
      </w:pPr>
      <w:r>
        <w:rPr>
          <w:sz w:val="2"/>
          <w:szCs w:val="2"/>
        </w:rPr>
        <w:t xml:space="preserve"/>
      </w:r>
    </w:p>
    <w:p>
      <w:pPr>
        <w:spacing w:after="160" w:before="0"/>
        <w:jc w:val="both"/>
      </w:pPr>
      <w:r>
        <w:rPr>
          <w:rFonts w:ascii="Calibri" w:cs="Calibri" w:eastAsia="Calibri" w:hAnsi="Calibri"/>
          <w:color w:val="404040"/>
          <w:sz w:val="20"/>
          <w:szCs w:val="20"/>
        </w:rPr>
        <w:t xml:space="preserve">Pet Factory est une plateforme industrielle nouvelle génération de fabrication d’aliments pour animaux, située sur la côte atlantique du Maroc et livrée clé en main par FAMSUN, le leader mondial de l’extrusion pet food. Pensée pour l’export et structurée pour l’Amérique du Nord : 5 tonnes/heure de croquettes premium, accès en franchise de droits au marché américain via l’Accord de libre-échange États-Unis–Maroc, et un transit transatlantique qui devance le sourcing asiatique de plusieurs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none" w:color="FFFFFF" w:sz="0"/>
              <w:left w:val="none" w:color="FFFFFF" w:sz="0"/>
              <w:bottom w:val="single" w:color="CCCCCC" w:sz="1"/>
              <w:right w:val="none" w:color="FFFFFF" w:sz="0"/>
            </w:tcBorders>
            <w:tcMar>
              <w:top w:type="dxa" w:w="100"/>
              <w:left w:type="dxa" w:w="0"/>
              <w:bottom w:type="dxa" w:w="100"/>
              <w:right w:type="dxa" w:w="120"/>
            </w:tcMar>
          </w:tcPr>
          <w:p>
            <w:r>
              <w:rPr>
                <w:rFonts w:ascii="Calibri" w:cs="Calibri" w:eastAsia="Calibri" w:hAnsi="Calibri"/>
                <w:b/>
                <w:bCs/>
                <w:color w:val="1A1A2E"/>
                <w:sz w:val="18"/>
                <w:szCs w:val="18"/>
              </w:rPr>
              <w:t xml:space="preserve">Production</w:t>
            </w:r>
          </w:p>
        </w:tc>
        <w:tc>
          <w:tcPr>
            <w:tcW w:type="dxa" w:w="6660"/>
            <w:tcBorders>
              <w:top w:val="none" w:color="FFFFFF" w:sz="0"/>
              <w:left w:val="none" w:color="FFFFFF" w:sz="0"/>
              <w:bottom w:val="single" w:color="CCCCCC" w:sz="1"/>
              <w:right w:val="none" w:color="FFFFFF" w:sz="0"/>
            </w:tcBorders>
            <w:tcMar>
              <w:top w:type="dxa" w:w="100"/>
              <w:left w:type="dxa" w:w="0"/>
              <w:bottom w:type="dxa" w:w="100"/>
              <w:right w:type="dxa" w:w="0"/>
            </w:tcMar>
          </w:tcPr>
          <w:p>
            <w:r>
              <w:rPr>
                <w:rFonts w:ascii="Calibri" w:cs="Calibri" w:eastAsia="Calibri" w:hAnsi="Calibri"/>
                <w:color w:val="404040"/>
                <w:sz w:val="18"/>
                <w:szCs w:val="18"/>
              </w:rPr>
              <w:t xml:space="preserve">Ligne d’extrusion sèche 5 t/h — installation FAMSUN clé en main</w:t>
            </w:r>
          </w:p>
        </w:tc>
      </w:tr>
      <w:tr>
        <w:tc>
          <w:tcPr>
            <w:tcW w:type="dxa" w:w="2700"/>
            <w:tcBorders>
              <w:top w:val="none" w:color="FFFFFF" w:sz="0"/>
              <w:left w:val="none" w:color="FFFFFF" w:sz="0"/>
              <w:bottom w:val="single" w:color="CCCCCC" w:sz="1"/>
              <w:right w:val="none" w:color="FFFFFF" w:sz="0"/>
            </w:tcBorders>
            <w:tcMar>
              <w:top w:type="dxa" w:w="100"/>
              <w:left w:type="dxa" w:w="0"/>
              <w:bottom w:type="dxa" w:w="100"/>
              <w:right w:type="dxa" w:w="120"/>
            </w:tcMar>
          </w:tcPr>
          <w:p>
            <w:r>
              <w:rPr>
                <w:rFonts w:ascii="Calibri" w:cs="Calibri" w:eastAsia="Calibri" w:hAnsi="Calibri"/>
                <w:b/>
                <w:bCs/>
                <w:color w:val="1A1A2E"/>
                <w:sz w:val="18"/>
                <w:szCs w:val="18"/>
              </w:rPr>
              <w:t xml:space="preserve">Gamme</w:t>
            </w:r>
          </w:p>
        </w:tc>
        <w:tc>
          <w:tcPr>
            <w:tcW w:type="dxa" w:w="6660"/>
            <w:tcBorders>
              <w:top w:val="none" w:color="FFFFFF" w:sz="0"/>
              <w:left w:val="none" w:color="FFFFFF" w:sz="0"/>
              <w:bottom w:val="single" w:color="CCCCCC" w:sz="1"/>
              <w:right w:val="none" w:color="FFFFFF" w:sz="0"/>
            </w:tcBorders>
            <w:tcMar>
              <w:top w:type="dxa" w:w="100"/>
              <w:left w:type="dxa" w:w="0"/>
              <w:bottom w:type="dxa" w:w="100"/>
              <w:right w:type="dxa" w:w="0"/>
            </w:tcMar>
          </w:tcPr>
          <w:p>
            <w:r>
              <w:rPr>
                <w:rFonts w:ascii="Calibri" w:cs="Calibri" w:eastAsia="Calibri" w:hAnsi="Calibri"/>
                <w:color w:val="404040"/>
                <w:sz w:val="18"/>
                <w:szCs w:val="18"/>
              </w:rPr>
              <w:t xml:space="preserve">Croquettes premium chien &amp; chat ; capacité ligne humide (pâtée)</w:t>
            </w:r>
          </w:p>
        </w:tc>
      </w:tr>
      <w:tr>
        <w:tc>
          <w:tcPr>
            <w:tcW w:type="dxa" w:w="2700"/>
            <w:tcBorders>
              <w:top w:val="none" w:color="FFFFFF" w:sz="0"/>
              <w:left w:val="none" w:color="FFFFFF" w:sz="0"/>
              <w:bottom w:val="single" w:color="CCCCCC" w:sz="1"/>
              <w:right w:val="none" w:color="FFFFFF" w:sz="0"/>
            </w:tcBorders>
            <w:tcMar>
              <w:top w:type="dxa" w:w="100"/>
              <w:left w:type="dxa" w:w="0"/>
              <w:bottom w:type="dxa" w:w="100"/>
              <w:right w:type="dxa" w:w="120"/>
            </w:tcMar>
          </w:tcPr>
          <w:p>
            <w:r>
              <w:rPr>
                <w:rFonts w:ascii="Calibri" w:cs="Calibri" w:eastAsia="Calibri" w:hAnsi="Calibri"/>
                <w:b/>
                <w:bCs/>
                <w:color w:val="1A1A2E"/>
                <w:sz w:val="18"/>
                <w:szCs w:val="18"/>
              </w:rPr>
              <w:t xml:space="preserve">Localisation</w:t>
            </w:r>
          </w:p>
        </w:tc>
        <w:tc>
          <w:tcPr>
            <w:tcW w:type="dxa" w:w="6660"/>
            <w:tcBorders>
              <w:top w:val="none" w:color="FFFFFF" w:sz="0"/>
              <w:left w:val="none" w:color="FFFFFF" w:sz="0"/>
              <w:bottom w:val="single" w:color="CCCCCC" w:sz="1"/>
              <w:right w:val="none" w:color="FFFFFF" w:sz="0"/>
            </w:tcBorders>
            <w:tcMar>
              <w:top w:type="dxa" w:w="100"/>
              <w:left w:type="dxa" w:w="0"/>
              <w:bottom w:type="dxa" w:w="100"/>
              <w:right w:type="dxa" w:w="0"/>
            </w:tcMar>
          </w:tcPr>
          <w:p>
            <w:r>
              <w:rPr>
                <w:rFonts w:ascii="Calibri" w:cs="Calibri" w:eastAsia="Calibri" w:hAnsi="Calibri"/>
                <w:color w:val="404040"/>
                <w:sz w:val="18"/>
                <w:szCs w:val="18"/>
              </w:rPr>
              <w:t xml:space="preserve">Maroc — côte atlantique, accès direct au port de Casablanca</w:t>
            </w:r>
          </w:p>
        </w:tc>
      </w:tr>
      <w:tr>
        <w:tc>
          <w:tcPr>
            <w:tcW w:type="dxa" w:w="2700"/>
            <w:tcBorders>
              <w:top w:val="none" w:color="FFFFFF" w:sz="0"/>
              <w:left w:val="none" w:color="FFFFFF" w:sz="0"/>
              <w:bottom w:val="single" w:color="CCCCCC" w:sz="1"/>
              <w:right w:val="none" w:color="FFFFFF" w:sz="0"/>
            </w:tcBorders>
            <w:tcMar>
              <w:top w:type="dxa" w:w="100"/>
              <w:left w:type="dxa" w:w="0"/>
              <w:bottom w:type="dxa" w:w="100"/>
              <w:right w:type="dxa" w:w="120"/>
            </w:tcMar>
          </w:tcPr>
          <w:p>
            <w:r>
              <w:rPr>
                <w:rFonts w:ascii="Calibri" w:cs="Calibri" w:eastAsia="Calibri" w:hAnsi="Calibri"/>
                <w:b/>
                <w:bCs/>
                <w:color w:val="1A1A2E"/>
                <w:sz w:val="18"/>
                <w:szCs w:val="18"/>
              </w:rPr>
              <w:t xml:space="preserve">Énergie</w:t>
            </w:r>
          </w:p>
        </w:tc>
        <w:tc>
          <w:tcPr>
            <w:tcW w:type="dxa" w:w="6660"/>
            <w:tcBorders>
              <w:top w:val="none" w:color="FFFFFF" w:sz="0"/>
              <w:left w:val="none" w:color="FFFFFF" w:sz="0"/>
              <w:bottom w:val="single" w:color="CCCCCC" w:sz="1"/>
              <w:right w:val="none" w:color="FFFFFF" w:sz="0"/>
            </w:tcBorders>
            <w:tcMar>
              <w:top w:type="dxa" w:w="100"/>
              <w:left w:type="dxa" w:w="0"/>
              <w:bottom w:type="dxa" w:w="100"/>
              <w:right w:type="dxa" w:w="0"/>
            </w:tcMar>
          </w:tcPr>
          <w:p>
            <w:r>
              <w:rPr>
                <w:rFonts w:ascii="Calibri" w:cs="Calibri" w:eastAsia="Calibri" w:hAnsi="Calibri"/>
                <w:color w:val="404040"/>
                <w:sz w:val="18"/>
                <w:szCs w:val="18"/>
              </w:rPr>
              <w:t xml:space="preserve">Intégration solaire en cours de développement (Loi 40-19)</w:t>
            </w:r>
          </w:p>
        </w:tc>
      </w:tr>
      <w:tr>
        <w:tc>
          <w:tcPr>
            <w:tcW w:type="dxa" w:w="2700"/>
            <w:tcBorders>
              <w:top w:val="none" w:color="FFFFFF" w:sz="0"/>
              <w:left w:val="none" w:color="FFFFFF" w:sz="0"/>
              <w:bottom w:val="none" w:color="FFFFFF" w:sz="0"/>
              <w:right w:val="none" w:color="FFFFFF" w:sz="0"/>
            </w:tcBorders>
            <w:tcMar>
              <w:top w:type="dxa" w:w="100"/>
              <w:left w:type="dxa" w:w="0"/>
              <w:bottom w:type="dxa" w:w="100"/>
              <w:right w:type="dxa" w:w="120"/>
            </w:tcMar>
          </w:tcPr>
          <w:p>
            <w:r>
              <w:rPr>
                <w:rFonts w:ascii="Calibri" w:cs="Calibri" w:eastAsia="Calibri" w:hAnsi="Calibri"/>
                <w:b/>
                <w:bCs/>
                <w:color w:val="1A1A2E"/>
                <w:sz w:val="18"/>
                <w:szCs w:val="18"/>
              </w:rPr>
              <w:t xml:space="preserve">Partenariat</w:t>
            </w:r>
          </w:p>
        </w:tc>
        <w:tc>
          <w:tcPr>
            <w:tcW w:type="dxa" w:w="66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404040"/>
                <w:sz w:val="18"/>
                <w:szCs w:val="18"/>
              </w:rPr>
              <w:t xml:space="preserve">Joint-venture avec Normandie Pet Food (France) pour le marché européen</w:t>
            </w:r>
          </w:p>
        </w:tc>
      </w:tr>
    </w:tbl>
    <w:p>
      <w:pPr>
        <w:pBdr>
          <w:bottom w:val="single" w:color="C8102E" w:sz="6" w:space="2"/>
        </w:pBdr>
        <w:spacing w:after="80" w:before="200"/>
      </w:pPr>
      <w:r>
        <w:rPr>
          <w:rFonts w:ascii="Calibri" w:cs="Calibri" w:eastAsia="Calibri" w:hAnsi="Calibri"/>
          <w:b/>
          <w:bCs/>
          <w:color w:val="C8102E"/>
          <w:spacing w:val="20"/>
          <w:sz w:val="22"/>
          <w:szCs w:val="22"/>
        </w:rPr>
        <w:t xml:space="preserve">POURQUOI SOURCER LE PET FOOD AU MAROC</w:t>
      </w:r>
    </w:p>
    <w:p>
      <w:pPr>
        <w:pStyle w:val="ListParagraph"/>
        <w:numPr>
          <w:ilvl w:val="0"/>
          <w:numId w:val="2"/>
        </w:numPr>
        <w:spacing w:after="30" w:before="30"/>
      </w:pPr>
      <w:r>
        <w:rPr>
          <w:rFonts w:ascii="Calibri" w:cs="Calibri" w:eastAsia="Calibri" w:hAnsi="Calibri"/>
          <w:b/>
          <w:bCs/>
          <w:color w:val="1A1A2E"/>
          <w:sz w:val="20"/>
          <w:szCs w:val="20"/>
        </w:rPr>
        <w:t xml:space="preserve">Accord de libre-échange États-Unis–Maroc : </w:t>
      </w:r>
      <w:r>
        <w:rPr>
          <w:rFonts w:ascii="Calibri" w:cs="Calibri" w:eastAsia="Calibri" w:hAnsi="Calibri"/>
          <w:color w:val="404040"/>
          <w:sz w:val="20"/>
          <w:szCs w:val="20"/>
        </w:rPr>
        <w:t xml:space="preserve">accès en franchise de droits pour la majorité des biens éligibles (en vigueur depuis 2006) — un avantage structurel de coût qu’aucun fournisseur asiatique ne peut égaler.</w:t>
      </w:r>
    </w:p>
    <w:p>
      <w:pPr>
        <w:pStyle w:val="ListParagraph"/>
        <w:numPr>
          <w:ilvl w:val="0"/>
          <w:numId w:val="2"/>
        </w:numPr>
        <w:spacing w:after="30" w:before="30"/>
      </w:pPr>
      <w:r>
        <w:rPr>
          <w:rFonts w:ascii="Calibri" w:cs="Calibri" w:eastAsia="Calibri" w:hAnsi="Calibri"/>
          <w:b/>
          <w:bCs/>
          <w:color w:val="1A1A2E"/>
          <w:sz w:val="20"/>
          <w:szCs w:val="20"/>
        </w:rPr>
        <w:t xml:space="preserve">Avantage logistique atlantique : </w:t>
      </w:r>
      <w:r>
        <w:rPr>
          <w:rFonts w:ascii="Calibri" w:cs="Calibri" w:eastAsia="Calibri" w:hAnsi="Calibri"/>
          <w:color w:val="404040"/>
          <w:sz w:val="20"/>
          <w:szCs w:val="20"/>
        </w:rPr>
        <w:t xml:space="preserve">environ 7 à 12 jours vers les ports de la côte est américaine, contre plus de 30 jours depuis l’Asie, avec une volatilité de fret réduite.</w:t>
      </w:r>
    </w:p>
    <w:p>
      <w:pPr>
        <w:pStyle w:val="ListParagraph"/>
        <w:numPr>
          <w:ilvl w:val="0"/>
          <w:numId w:val="2"/>
        </w:numPr>
        <w:spacing w:after="30" w:before="30"/>
      </w:pPr>
      <w:r>
        <w:rPr>
          <w:rFonts w:ascii="Calibri" w:cs="Calibri" w:eastAsia="Calibri" w:hAnsi="Calibri"/>
          <w:b/>
          <w:bCs/>
          <w:color w:val="1A1A2E"/>
          <w:sz w:val="20"/>
          <w:szCs w:val="20"/>
        </w:rPr>
        <w:t xml:space="preserve">Positionnement double marché : </w:t>
      </w:r>
      <w:r>
        <w:rPr>
          <w:rFonts w:ascii="Calibri" w:cs="Calibri" w:eastAsia="Calibri" w:hAnsi="Calibri"/>
          <w:color w:val="404040"/>
          <w:sz w:val="20"/>
          <w:szCs w:val="20"/>
        </w:rPr>
        <w:t xml:space="preserve">le Maroc dispose d’accords de libre-échange avec les États-Unis et l’Union européenne, permettant des structures d’export et de réexport flexibles.</w:t>
      </w:r>
    </w:p>
    <w:p>
      <w:pPr>
        <w:pStyle w:val="ListParagraph"/>
        <w:numPr>
          <w:ilvl w:val="0"/>
          <w:numId w:val="2"/>
        </w:numPr>
        <w:spacing w:after="30" w:before="30"/>
      </w:pPr>
      <w:r>
        <w:rPr>
          <w:rFonts w:ascii="Calibri" w:cs="Calibri" w:eastAsia="Calibri" w:hAnsi="Calibri"/>
          <w:b/>
          <w:bCs/>
          <w:color w:val="1A1A2E"/>
          <w:sz w:val="20"/>
          <w:szCs w:val="20"/>
        </w:rPr>
        <w:t xml:space="preserve">Trajectoire qualité européenne : </w:t>
      </w:r>
      <w:r>
        <w:rPr>
          <w:rFonts w:ascii="Calibri" w:cs="Calibri" w:eastAsia="Calibri" w:hAnsi="Calibri"/>
          <w:color w:val="404040"/>
          <w:sz w:val="20"/>
          <w:szCs w:val="20"/>
        </w:rPr>
        <w:t xml:space="preserve">standards de production alignés avec notre partenaire JV français qui vise le segment premium européen.</w:t>
      </w:r>
    </w:p>
    <w:p>
      <w:pPr>
        <w:pStyle w:val="ListParagraph"/>
        <w:numPr>
          <w:ilvl w:val="0"/>
          <w:numId w:val="2"/>
        </w:numPr>
        <w:spacing w:after="30" w:before="30"/>
      </w:pPr>
      <w:r>
        <w:rPr>
          <w:rFonts w:ascii="Calibri" w:cs="Calibri" w:eastAsia="Calibri" w:hAnsi="Calibri"/>
          <w:b/>
          <w:bCs/>
          <w:color w:val="1A1A2E"/>
          <w:sz w:val="20"/>
          <w:szCs w:val="20"/>
        </w:rPr>
        <w:t xml:space="preserve">Stabilité politique et monétaire : </w:t>
      </w:r>
      <w:r>
        <w:rPr>
          <w:rFonts w:ascii="Calibri" w:cs="Calibri" w:eastAsia="Calibri" w:hAnsi="Calibri"/>
          <w:color w:val="404040"/>
          <w:sz w:val="20"/>
          <w:szCs w:val="20"/>
        </w:rPr>
        <w:t xml:space="preserve">MAD adossé à un panier EUR/USD ; système bancaire moderne, environnement contractuel prévisible.</w:t>
      </w:r>
    </w:p>
    <w:p>
      <w:pPr>
        <w:pBdr>
          <w:bottom w:val="single" w:color="C8102E" w:sz="6" w:space="2"/>
        </w:pBdr>
        <w:spacing w:after="80" w:before="200"/>
      </w:pPr>
      <w:r>
        <w:rPr>
          <w:rFonts w:ascii="Calibri" w:cs="Calibri" w:eastAsia="Calibri" w:hAnsi="Calibri"/>
          <w:b/>
          <w:bCs/>
          <w:color w:val="C8102E"/>
          <w:spacing w:val="20"/>
          <w:sz w:val="22"/>
          <w:szCs w:val="22"/>
        </w:rPr>
        <w:t xml:space="preserve">CE QUE NOUS POUVONS PRODUIRE POUR VOUS</w:t>
      </w:r>
    </w:p>
    <w:p>
      <w:pPr>
        <w:pStyle w:val="ListParagraph"/>
        <w:numPr>
          <w:ilvl w:val="0"/>
          <w:numId w:val="2"/>
        </w:numPr>
        <w:spacing w:after="30" w:before="30"/>
      </w:pPr>
      <w:r>
        <w:rPr>
          <w:rFonts w:ascii="Calibri" w:cs="Calibri" w:eastAsia="Calibri" w:hAnsi="Calibri"/>
          <w:color w:val="404040"/>
          <w:sz w:val="20"/>
          <w:szCs w:val="20"/>
        </w:rPr>
        <w:t xml:space="preserve">Marque de distributeur (private label) et white-label sur tous segments (économique, mid, premium, super-premium).</w:t>
      </w:r>
    </w:p>
    <w:p>
      <w:pPr>
        <w:pStyle w:val="ListParagraph"/>
        <w:numPr>
          <w:ilvl w:val="0"/>
          <w:numId w:val="2"/>
        </w:numPr>
        <w:spacing w:after="30" w:before="30"/>
      </w:pPr>
      <w:r>
        <w:rPr>
          <w:rFonts w:ascii="Calibri" w:cs="Calibri" w:eastAsia="Calibri" w:hAnsi="Calibri"/>
          <w:color w:val="404040"/>
          <w:sz w:val="20"/>
          <w:szCs w:val="20"/>
        </w:rPr>
        <w:t xml:space="preserve">Formulations sur mesure : forme, taille, densité de la croquette, enrobage gras, systèmes d’appétence.</w:t>
      </w:r>
    </w:p>
    <w:p>
      <w:pPr>
        <w:pStyle w:val="ListParagraph"/>
        <w:numPr>
          <w:ilvl w:val="0"/>
          <w:numId w:val="2"/>
        </w:numPr>
        <w:spacing w:after="30" w:before="30"/>
      </w:pPr>
      <w:r>
        <w:rPr>
          <w:rFonts w:ascii="Calibri" w:cs="Calibri" w:eastAsia="Calibri" w:hAnsi="Calibri"/>
          <w:color w:val="404040"/>
          <w:sz w:val="20"/>
          <w:szCs w:val="20"/>
        </w:rPr>
        <w:t xml:space="preserve">Gammes co-brandées et exclusivités catégorielles pour les distributeurs américains et canadiens.</w:t>
      </w:r>
    </w:p>
    <w:p>
      <w:pPr>
        <w:pStyle w:val="ListParagraph"/>
        <w:numPr>
          <w:ilvl w:val="0"/>
          <w:numId w:val="2"/>
        </w:numPr>
        <w:spacing w:after="30" w:before="30"/>
      </w:pPr>
      <w:r>
        <w:rPr>
          <w:rFonts w:ascii="Calibri" w:cs="Calibri" w:eastAsia="Calibri" w:hAnsi="Calibri"/>
          <w:color w:val="404040"/>
          <w:sz w:val="20"/>
          <w:szCs w:val="20"/>
        </w:rPr>
        <w:t xml:space="preserve">Accompagnement R&amp;D : sans céréales, mono-protéine, formats de type prescription.</w:t>
      </w:r>
    </w:p>
    <w:p>
      <w:pPr>
        <w:pStyle w:val="ListParagraph"/>
        <w:numPr>
          <w:ilvl w:val="0"/>
          <w:numId w:val="2"/>
        </w:numPr>
        <w:spacing w:after="30" w:before="30"/>
      </w:pPr>
      <w:r>
        <w:rPr>
          <w:rFonts w:ascii="Calibri" w:cs="Calibri" w:eastAsia="Calibri" w:hAnsi="Calibri"/>
          <w:color w:val="404040"/>
          <w:sz w:val="20"/>
          <w:szCs w:val="20"/>
        </w:rPr>
        <w:t xml:space="preserve">Capacité ligne humide pour pâtée, morceaux en sauce et friandises (en cours de développement).</w:t>
      </w:r>
    </w:p>
    <w:p>
      <w:pPr>
        <w:pBdr>
          <w:bottom w:val="single" w:color="C8102E" w:sz="6" w:space="2"/>
        </w:pBdr>
        <w:spacing w:after="80" w:before="200"/>
      </w:pPr>
      <w:r>
        <w:rPr>
          <w:rFonts w:ascii="Calibri" w:cs="Calibri" w:eastAsia="Calibri" w:hAnsi="Calibri"/>
          <w:b/>
          <w:bCs/>
          <w:color w:val="C8102E"/>
          <w:spacing w:val="20"/>
          <w:sz w:val="22"/>
          <w:szCs w:val="22"/>
        </w:rPr>
        <w:t xml:space="preserve">CONFORMITÉ &amp; FEUILLE DE ROUTE ESG</w:t>
      </w:r>
    </w:p>
    <w:p>
      <w:pPr>
        <w:pStyle w:val="ListParagraph"/>
        <w:numPr>
          <w:ilvl w:val="0"/>
          <w:numId w:val="2"/>
        </w:numPr>
        <w:spacing w:after="30" w:before="30"/>
      </w:pPr>
      <w:r>
        <w:rPr>
          <w:rFonts w:ascii="Calibri" w:cs="Calibri" w:eastAsia="Calibri" w:hAnsi="Calibri"/>
          <w:color w:val="404040"/>
          <w:sz w:val="20"/>
          <w:szCs w:val="20"/>
        </w:rPr>
        <w:t xml:space="preserve">Mise en place HACCP et ISO 22000 en cours, alignée sur les exigences d’export UE via notre JV française.</w:t>
      </w:r>
    </w:p>
    <w:p>
      <w:pPr>
        <w:pStyle w:val="ListParagraph"/>
        <w:numPr>
          <w:ilvl w:val="0"/>
          <w:numId w:val="2"/>
        </w:numPr>
        <w:spacing w:after="30" w:before="30"/>
      </w:pPr>
      <w:r>
        <w:rPr>
          <w:rFonts w:ascii="Calibri" w:cs="Calibri" w:eastAsia="Calibri" w:hAnsi="Calibri"/>
          <w:color w:val="404040"/>
          <w:sz w:val="20"/>
          <w:szCs w:val="20"/>
        </w:rPr>
        <w:t xml:space="preserve">Traçabilité par lot et documentation intégrées dès le départ dans la ligne FAMSUN.</w:t>
      </w:r>
    </w:p>
    <w:p>
      <w:pPr>
        <w:pStyle w:val="ListParagraph"/>
        <w:numPr>
          <w:ilvl w:val="0"/>
          <w:numId w:val="2"/>
        </w:numPr>
        <w:spacing w:after="30" w:before="30"/>
      </w:pPr>
      <w:r>
        <w:rPr>
          <w:rFonts w:ascii="Calibri" w:cs="Calibri" w:eastAsia="Calibri" w:hAnsi="Calibri"/>
          <w:color w:val="404040"/>
          <w:sz w:val="20"/>
          <w:szCs w:val="20"/>
        </w:rPr>
        <w:t xml:space="preserve">Intégration énergie renouvelable sur la zone de production sèche — levier matériel pour les acheteurs ayant des mandats sourcing durable.</w:t>
      </w:r>
    </w:p>
    <w:p>
      <w:pPr>
        <w:pStyle w:val="ListParagraph"/>
        <w:numPr>
          <w:ilvl w:val="0"/>
          <w:numId w:val="2"/>
        </w:numPr>
        <w:spacing w:after="30" w:before="30"/>
      </w:pPr>
      <w:r>
        <w:rPr>
          <w:rFonts w:ascii="Calibri" w:cs="Calibri" w:eastAsia="Calibri" w:hAnsi="Calibri"/>
          <w:color w:val="404040"/>
          <w:sz w:val="20"/>
          <w:szCs w:val="20"/>
        </w:rPr>
        <w:t xml:space="preserve">Enregistrement FDA et accompagnement étiquetage AAFCO pour l’import américain.</w:t>
      </w:r>
    </w:p>
    <w:p>
      <w:pPr>
        <w:pBdr>
          <w:bottom w:val="single" w:color="C8102E" w:sz="6" w:space="1"/>
        </w:pBdr>
        <w:spacing w:after="120" w:before="240"/>
      </w:pPr>
      <w:r>
        <w:rPr>
          <w:sz w:val="2"/>
          <w:szCs w:val="2"/>
        </w:rPr>
        <w:t xml:space="preserve"/>
      </w:r>
    </w:p>
    <w:p>
      <w:pPr>
        <w:spacing w:after="40" w:before="0"/>
      </w:pPr>
      <w:r>
        <w:rPr>
          <w:rFonts w:ascii="Calibri" w:cs="Calibri" w:eastAsia="Calibri" w:hAnsi="Calibri"/>
          <w:b/>
          <w:bCs/>
          <w:color w:val="C8102E"/>
          <w:spacing w:val="20"/>
          <w:sz w:val="22"/>
          <w:szCs w:val="22"/>
        </w:rPr>
        <w:t xml:space="preserve">PARLONS-NOUS LE 5 MAI</w:t>
      </w:r>
    </w:p>
    <w:p>
      <w:pPr>
        <w:spacing w:after="60" w:before="0"/>
      </w:pPr>
      <w:r>
        <w:rPr>
          <w:rFonts w:ascii="Calibri" w:cs="Calibri" w:eastAsia="Calibri" w:hAnsi="Calibri"/>
          <w:b/>
          <w:bCs/>
          <w:color w:val="1A1A2E"/>
          <w:sz w:val="22"/>
          <w:szCs w:val="22"/>
        </w:rPr>
        <w:t xml:space="preserve">Sam ElAribi  —  Pet Factory / Petland Maroc</w:t>
      </w:r>
    </w:p>
    <w:p>
      <w:pPr>
        <w:spacing w:after="0" w:before="0"/>
      </w:pPr>
      <w:r>
        <w:rPr>
          <w:rFonts w:ascii="Calibri" w:cs="Calibri" w:eastAsia="Calibri" w:hAnsi="Calibri"/>
          <w:b/>
          <w:bCs/>
          <w:color w:val="1A1A2E"/>
          <w:sz w:val="18"/>
          <w:szCs w:val="18"/>
        </w:rPr>
        <w:t xml:space="preserve">Email : </w:t>
      </w:r>
      <w:r>
        <w:rPr>
          <w:rFonts w:ascii="Calibri" w:cs="Calibri" w:eastAsia="Calibri" w:hAnsi="Calibri"/>
          <w:color w:val="404040"/>
          <w:sz w:val="18"/>
          <w:szCs w:val="18"/>
        </w:rPr>
        <w:t xml:space="preserve">[votre email]</w:t>
      </w:r>
      <w:r>
        <w:rPr>
          <w:rFonts w:ascii="Calibri" w:cs="Calibri" w:eastAsia="Calibri" w:hAnsi="Calibri"/>
          <w:color w:val="CCCCCC"/>
          <w:sz w:val="18"/>
          <w:szCs w:val="18"/>
        </w:rPr>
        <w:t xml:space="preserve">     |     </w:t>
      </w:r>
      <w:r>
        <w:rPr>
          <w:rFonts w:ascii="Calibri" w:cs="Calibri" w:eastAsia="Calibri" w:hAnsi="Calibri"/>
          <w:b/>
          <w:bCs/>
          <w:color w:val="1A1A2E"/>
          <w:sz w:val="18"/>
          <w:szCs w:val="18"/>
        </w:rPr>
        <w:t xml:space="preserve">Mobile : </w:t>
      </w:r>
      <w:r>
        <w:rPr>
          <w:rFonts w:ascii="Calibri" w:cs="Calibri" w:eastAsia="Calibri" w:hAnsi="Calibri"/>
          <w:color w:val="404040"/>
          <w:sz w:val="18"/>
          <w:szCs w:val="18"/>
        </w:rPr>
        <w:t xml:space="preserve">[votre numéro]</w:t>
      </w:r>
    </w:p>
    <w:p>
      <w:pPr>
        <w:spacing w:after="0" w:before="60"/>
      </w:pPr>
      <w:r>
        <w:rPr>
          <w:rFonts w:ascii="Calibri" w:cs="Calibri" w:eastAsia="Calibri" w:hAnsi="Calibri"/>
          <w:i/>
          <w:iCs/>
          <w:color w:val="B8860B"/>
          <w:sz w:val="18"/>
          <w:szCs w:val="18"/>
        </w:rPr>
        <w:t xml:space="preserve">Rendez-vous à la Journée 5/5  •  Salle Saphir, Bouskoura  •  Mardi 5 mai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 Factory Maroc — Fiche Acheteurs</dc:title>
  <dc:creator>Sam ElAribi</dc:creator>
  <cp:lastModifiedBy>Un-named</cp:lastModifiedBy>
  <cp:revision>1</cp:revision>
  <dcterms:created xsi:type="dcterms:W3CDTF">2026-05-02T17:13:31.792Z</dcterms:created>
  <dcterms:modified xsi:type="dcterms:W3CDTF">2026-05-02T17:13:31.825Z</dcterms:modified>
</cp:coreProperties>
</file>

<file path=docProps/custom.xml><?xml version="1.0" encoding="utf-8"?>
<Properties xmlns="http://schemas.openxmlformats.org/officeDocument/2006/custom-properties" xmlns:vt="http://schemas.openxmlformats.org/officeDocument/2006/docPropsVTypes"/>
</file>