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i w:val="false"/>
          <w:iCs w:val="false"/>
          <w:color w:val="1A1A2E"/>
          <w:sz w:val="36"/>
          <w:szCs w:val="36"/>
        </w:rPr>
        <w:t xml:space="preserve">PET FACTORY — May 5 Buyer Meeting Playbook</w:t>
      </w:r>
    </w:p>
    <w:p>
      <w:pPr>
        <w:spacing w:after="120" w:before="0"/>
      </w:pPr>
      <w:r>
        <w:rPr>
          <w:rFonts w:ascii="Calibri" w:cs="Calibri" w:eastAsia="Calibri" w:hAnsi="Calibri"/>
          <w:b w:val="false"/>
          <w:bCs w:val="false"/>
          <w:i/>
          <w:iCs/>
          <w:color w:val="C8102E"/>
          <w:sz w:val="20"/>
          <w:szCs w:val="20"/>
        </w:rPr>
        <w:t xml:space="preserve">Talk track, discovery questions, and Q&amp;A prep for the Journée 5/5 buyer meetings.</w:t>
      </w:r>
    </w:p>
    <w:p>
      <w:pPr>
        <w:pBdr>
          <w:bottom w:val="single" w:color="C8102E" w:sz="12" w:space="1"/>
        </w:pBdr>
        <w:spacing w:after="200" w:before="0"/>
      </w:pPr>
      <w:r>
        <w:rPr>
          <w:rFonts w:ascii="Calibri" w:cs="Calibri" w:eastAsia="Calibri" w:hAnsi="Calibri"/>
          <w:b w:val="false"/>
          <w:bCs w:val="false"/>
          <w:i w:val="false"/>
          <w:iCs w:val="false"/>
          <w:color w:val="404040"/>
          <w:sz w:val="2"/>
          <w:szCs w:val="2"/>
        </w:rPr>
        <w:t xml:space="preserve"/>
      </w:r>
    </w:p>
    <w:p>
      <w:pPr>
        <w:pBdr>
          <w:bottom w:val="single" w:color="C8102E" w:sz="6" w:space="2"/>
        </w:pBdr>
        <w:spacing w:after="100" w:before="280"/>
      </w:pPr>
      <w:r>
        <w:rPr>
          <w:rFonts w:ascii="Calibri" w:cs="Calibri" w:eastAsia="Calibri" w:hAnsi="Calibri"/>
          <w:b/>
          <w:bCs/>
          <w:i w:val="false"/>
          <w:iCs w:val="false"/>
          <w:color w:val="C8102E"/>
          <w:sz w:val="24"/>
          <w:szCs w:val="24"/>
        </w:rPr>
        <w:t xml:space="preserve">GOING-IN MINDSET</w:t>
      </w:r>
    </w:p>
    <w:p>
      <w:pPr>
        <w:pStyle w:val="ListParagraph"/>
        <w:numPr>
          <w:ilvl w:val="0"/>
          <w:numId w:val="2"/>
        </w:numPr>
        <w:spacing w:after="30" w:before="30"/>
      </w:pPr>
      <w:r>
        <w:rPr>
          <w:rFonts w:ascii="Calibri" w:cs="Calibri" w:eastAsia="Calibri" w:hAnsi="Calibri"/>
          <w:b/>
          <w:bCs/>
          <w:i w:val="false"/>
          <w:iCs w:val="false"/>
          <w:color w:val="1A1A2E"/>
          <w:sz w:val="20"/>
          <w:szCs w:val="20"/>
        </w:rPr>
        <w:t xml:space="preserve">You’re not selling boxes; you’re qualifying partners. </w:t>
      </w:r>
      <w:r>
        <w:rPr>
          <w:rFonts w:ascii="Calibri" w:cs="Calibri" w:eastAsia="Calibri" w:hAnsi="Calibri"/>
          <w:b w:val="false"/>
          <w:bCs w:val="false"/>
          <w:i w:val="false"/>
          <w:iCs w:val="false"/>
          <w:color w:val="404040"/>
          <w:sz w:val="20"/>
          <w:szCs w:val="20"/>
        </w:rPr>
        <w:t xml:space="preserve">Two or three good buyer relationships out of this day is a win. Twenty business cards is not.</w:t>
      </w:r>
    </w:p>
    <w:p>
      <w:pPr>
        <w:pStyle w:val="ListParagraph"/>
        <w:numPr>
          <w:ilvl w:val="0"/>
          <w:numId w:val="2"/>
        </w:numPr>
        <w:spacing w:after="30" w:before="30"/>
      </w:pPr>
      <w:r>
        <w:rPr>
          <w:rFonts w:ascii="Calibri" w:cs="Calibri" w:eastAsia="Calibri" w:hAnsi="Calibri"/>
          <w:b/>
          <w:bCs/>
          <w:i w:val="false"/>
          <w:iCs w:val="false"/>
          <w:color w:val="1A1A2E"/>
          <w:sz w:val="20"/>
          <w:szCs w:val="20"/>
        </w:rPr>
        <w:t xml:space="preserve">Discovery &gt; monologue. </w:t>
      </w:r>
      <w:r>
        <w:rPr>
          <w:rFonts w:ascii="Calibri" w:cs="Calibri" w:eastAsia="Calibri" w:hAnsi="Calibri"/>
          <w:b w:val="false"/>
          <w:bCs w:val="false"/>
          <w:i w:val="false"/>
          <w:iCs w:val="false"/>
          <w:color w:val="404040"/>
          <w:sz w:val="20"/>
          <w:szCs w:val="20"/>
        </w:rPr>
        <w:t xml:space="preserve">Buyers came to source. Get them talking about their pain (lead times, tariffs, Asia exposure, sustainability mandates). The pitch lands inside their problem, not before it.</w:t>
      </w:r>
    </w:p>
    <w:p>
      <w:pPr>
        <w:pStyle w:val="ListParagraph"/>
        <w:numPr>
          <w:ilvl w:val="0"/>
          <w:numId w:val="2"/>
        </w:numPr>
        <w:spacing w:after="30" w:before="30"/>
      </w:pPr>
      <w:r>
        <w:rPr>
          <w:rFonts w:ascii="Calibri" w:cs="Calibri" w:eastAsia="Calibri" w:hAnsi="Calibri"/>
          <w:b/>
          <w:bCs/>
          <w:i w:val="false"/>
          <w:iCs w:val="false"/>
          <w:color w:val="1A1A2E"/>
          <w:sz w:val="20"/>
          <w:szCs w:val="20"/>
        </w:rPr>
        <w:t xml:space="preserve">Anchor on the structural advantages. </w:t>
      </w:r>
      <w:r>
        <w:rPr>
          <w:rFonts w:ascii="Calibri" w:cs="Calibri" w:eastAsia="Calibri" w:hAnsi="Calibri"/>
          <w:b w:val="false"/>
          <w:bCs w:val="false"/>
          <w:i w:val="false"/>
          <w:iCs w:val="false"/>
          <w:color w:val="404040"/>
          <w:sz w:val="20"/>
          <w:szCs w:val="20"/>
        </w:rPr>
        <w:t xml:space="preserve">FTA, Atlantic transit, EU-grade trajectory. These are facts no Asian or even Mexican supplier can copy.</w:t>
      </w:r>
    </w:p>
    <w:p>
      <w:pPr>
        <w:pStyle w:val="ListParagraph"/>
        <w:numPr>
          <w:ilvl w:val="0"/>
          <w:numId w:val="2"/>
        </w:numPr>
        <w:spacing w:after="30" w:before="30"/>
      </w:pPr>
      <w:r>
        <w:rPr>
          <w:rFonts w:ascii="Calibri" w:cs="Calibri" w:eastAsia="Calibri" w:hAnsi="Calibri"/>
          <w:b/>
          <w:bCs/>
          <w:i w:val="false"/>
          <w:iCs w:val="false"/>
          <w:color w:val="1A1A2E"/>
          <w:sz w:val="20"/>
          <w:szCs w:val="20"/>
        </w:rPr>
        <w:t xml:space="preserve">Be specific where you can; honest where you can’t. </w:t>
      </w:r>
      <w:r>
        <w:rPr>
          <w:rFonts w:ascii="Calibri" w:cs="Calibri" w:eastAsia="Calibri" w:hAnsi="Calibri"/>
          <w:b w:val="false"/>
          <w:bCs w:val="false"/>
          <w:i w:val="false"/>
          <w:iCs w:val="false"/>
          <w:color w:val="404040"/>
          <w:sz w:val="20"/>
          <w:szCs w:val="20"/>
        </w:rPr>
        <w:t xml:space="preserve">If commissioning is two months out, say so. Buyers respect operators who don’t puff.</w:t>
      </w:r>
    </w:p>
    <w:p>
      <w:pPr>
        <w:pStyle w:val="ListParagraph"/>
        <w:numPr>
          <w:ilvl w:val="0"/>
          <w:numId w:val="2"/>
        </w:numPr>
        <w:spacing w:after="30" w:before="30"/>
      </w:pPr>
      <w:r>
        <w:rPr>
          <w:rFonts w:ascii="Calibri" w:cs="Calibri" w:eastAsia="Calibri" w:hAnsi="Calibri"/>
          <w:b/>
          <w:bCs/>
          <w:i w:val="false"/>
          <w:iCs w:val="false"/>
          <w:color w:val="1A1A2E"/>
          <w:sz w:val="20"/>
          <w:szCs w:val="20"/>
        </w:rPr>
        <w:t xml:space="preserve">Capture, don’t commit. </w:t>
      </w:r>
      <w:r>
        <w:rPr>
          <w:rFonts w:ascii="Calibri" w:cs="Calibri" w:eastAsia="Calibri" w:hAnsi="Calibri"/>
          <w:b w:val="false"/>
          <w:bCs w:val="false"/>
          <w:i w:val="false"/>
          <w:iCs w:val="false"/>
          <w:color w:val="404040"/>
          <w:sz w:val="20"/>
          <w:szCs w:val="20"/>
        </w:rPr>
        <w:t xml:space="preserve">Take notes. Don’t price, don’t allocate capacity, don’t promise certifications on the spot. Follow-up email within 48 hours is the close.</w:t>
      </w:r>
    </w:p>
    <w:p>
      <w:pPr>
        <w:pBdr>
          <w:bottom w:val="single" w:color="C8102E" w:sz="6" w:space="2"/>
        </w:pBdr>
        <w:spacing w:after="100" w:before="280"/>
      </w:pPr>
      <w:r>
        <w:rPr>
          <w:rFonts w:ascii="Calibri" w:cs="Calibri" w:eastAsia="Calibri" w:hAnsi="Calibri"/>
          <w:b/>
          <w:bCs/>
          <w:i w:val="false"/>
          <w:iCs w:val="false"/>
          <w:color w:val="C8102E"/>
          <w:sz w:val="24"/>
          <w:szCs w:val="24"/>
        </w:rPr>
        <w:t xml:space="preserve">THE PITCH — THREE LENGTHS</w:t>
      </w:r>
    </w:p>
    <w:p>
      <w:pPr>
        <w:spacing w:after="80" w:before="80"/>
        <w:jc w:val="left"/>
      </w:pPr>
      <w:r>
        <w:rPr>
          <w:rFonts w:ascii="Calibri" w:cs="Calibri" w:eastAsia="Calibri" w:hAnsi="Calibri"/>
          <w:b w:val="false"/>
          <w:bCs w:val="false"/>
          <w:i/>
          <w:iCs/>
          <w:color w:val="404040"/>
          <w:sz w:val="20"/>
          <w:szCs w:val="20"/>
        </w:rPr>
        <w:t xml:space="preserve">Use the length the moment gives you. Each version stands alone; if interest grows, expand.</w:t>
      </w:r>
    </w:p>
    <w:p>
      <w:pPr>
        <w:spacing w:after="60" w:before="200"/>
      </w:pPr>
      <w:r>
        <w:rPr>
          <w:rFonts w:ascii="Calibri" w:cs="Calibri" w:eastAsia="Calibri" w:hAnsi="Calibri"/>
          <w:b/>
          <w:bCs/>
          <w:i w:val="false"/>
          <w:iCs w:val="false"/>
          <w:color w:val="1A1A2E"/>
          <w:sz w:val="22"/>
          <w:szCs w:val="22"/>
        </w:rPr>
        <w:t xml:space="preserve">30-second hook (cocktail, hallway, lunch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102E" w:sz="18" w:space="4"/>
              <w:bottom w:val="none" w:color="FFFFFF" w:sz="0"/>
              <w:right w:val="none" w:color="FFFFFF" w:sz="0"/>
            </w:tcBorders>
            <w:shd w:fill="FCEEEE" w:val="clear"/>
            <w:tcMar>
              <w:top w:type="dxa" w:w="200"/>
              <w:left w:type="dxa" w:w="240"/>
              <w:bottom w:type="dxa" w:w="200"/>
              <w:right w:type="dxa" w:w="200"/>
            </w:tcMar>
          </w:tcPr>
          <w:p>
            <w:pPr>
              <w:spacing w:after="0" w:before="0"/>
            </w:pPr>
            <w:r>
              <w:rPr>
                <w:rFonts w:ascii="Calibri" w:cs="Calibri" w:eastAsia="Calibri" w:hAnsi="Calibri"/>
                <w:b w:val="false"/>
                <w:bCs w:val="false"/>
                <w:i/>
                <w:iCs/>
                <w:color w:val="1A1A2E"/>
                <w:sz w:val="22"/>
                <w:szCs w:val="22"/>
              </w:rPr>
              <w:t xml:space="preserve">Hi, I’m Sam ElAribi — I run Pet Factory, a new pet food platform on the Atlantic coast of Morocco. Five tons an hour, FAMSUN turnkey, duty-free into the U.S. under the Morocco FTA, with our first European partner already locked in. We’re here looking for two or three North American partners who want a real alternative to Asia. Where does pet food sit for you?</w:t>
            </w:r>
          </w:p>
        </w:tc>
      </w:tr>
    </w:tbl>
    <w:p>
      <w:pPr>
        <w:spacing w:after="60" w:before="200"/>
      </w:pPr>
      <w:r>
        <w:rPr>
          <w:rFonts w:ascii="Calibri" w:cs="Calibri" w:eastAsia="Calibri" w:hAnsi="Calibri"/>
          <w:b/>
          <w:bCs/>
          <w:i w:val="false"/>
          <w:iCs w:val="false"/>
          <w:color w:val="1A1A2E"/>
          <w:sz w:val="22"/>
          <w:szCs w:val="22"/>
        </w:rPr>
        <w:t xml:space="preserve">90-second stand-up pitch (booth, brief intro)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102E" w:sz="18" w:space="4"/>
              <w:bottom w:val="none" w:color="FFFFFF" w:sz="0"/>
              <w:right w:val="none" w:color="FFFFFF" w:sz="0"/>
            </w:tcBorders>
            <w:shd w:fill="FCEEEE" w:val="clear"/>
            <w:tcMar>
              <w:top w:type="dxa" w:w="200"/>
              <w:left w:type="dxa" w:w="240"/>
              <w:bottom w:type="dxa" w:w="200"/>
              <w:right w:type="dxa" w:w="200"/>
            </w:tcMar>
          </w:tcPr>
          <w:p>
            <w:pPr>
              <w:spacing w:after="0" w:before="0"/>
            </w:pPr>
            <w:r>
              <w:rPr>
                <w:rFonts w:ascii="Calibri" w:cs="Calibri" w:eastAsia="Calibri" w:hAnsi="Calibri"/>
                <w:b w:val="false"/>
                <w:bCs w:val="false"/>
                <w:i/>
                <w:iCs/>
                <w:color w:val="1A1A2E"/>
                <w:sz w:val="22"/>
                <w:szCs w:val="22"/>
              </w:rPr>
              <w:t xml:space="preserve">We’re building Pet Factory — a 5-ton-per-hour pet food manufacturing platform on the Atlantic coast of Morocco, engineered turnkey by FAMSUN, the global leader in extrusion.</w:t>
            </w:r>
          </w:p>
          <w:p>
            <w:pPr>
              <w:spacing w:after="0" w:before="60"/>
            </w:pPr>
            <w:r>
              <w:rPr>
                <w:rFonts w:ascii="Calibri" w:cs="Calibri" w:eastAsia="Calibri" w:hAnsi="Calibri"/>
                <w:b w:val="false"/>
                <w:bCs w:val="false"/>
                <w:i/>
                <w:iCs/>
                <w:color w:val="1A1A2E"/>
                <w:sz w:val="22"/>
                <w:szCs w:val="22"/>
              </w:rPr>
              <w:t xml:space="preserve">Three things make us interesting for North American buyers. First, the U.S.–Morocco Free Trade Agreement — duty-free access on most qualifying goods, in force since 2006. Second, transit: ten to twelve days from Casablanca to U.S. East Coast ports versus thirty-plus from Asia. Third, quality: our first commercial partner is Normandie Pet Food in France, so we’re building to EU export standards from day one.</w:t>
            </w:r>
          </w:p>
          <w:p>
            <w:pPr>
              <w:spacing w:after="0" w:before="60"/>
            </w:pPr>
            <w:r>
              <w:rPr>
                <w:rFonts w:ascii="Calibri" w:cs="Calibri" w:eastAsia="Calibri" w:hAnsi="Calibri"/>
                <w:b w:val="false"/>
                <w:bCs w:val="false"/>
                <w:i/>
                <w:iCs/>
                <w:color w:val="1A1A2E"/>
                <w:sz w:val="22"/>
                <w:szCs w:val="22"/>
              </w:rPr>
              <w:t xml:space="preserve">We’re not chasing every retailer. We’re selecting two or three category-leading partners in North America who want to anchor their Atlantic-side sourcing strategy with us. Tell me how pet food is structured in your business — and where Asia sourcing is hurting you.</w:t>
            </w:r>
          </w:p>
        </w:tc>
      </w:tr>
    </w:tbl>
    <w:p>
      <w:pPr>
        <w:spacing w:after="60" w:before="200"/>
      </w:pPr>
      <w:r>
        <w:rPr>
          <w:rFonts w:ascii="Calibri" w:cs="Calibri" w:eastAsia="Calibri" w:hAnsi="Calibri"/>
          <w:b/>
          <w:bCs/>
          <w:i w:val="false"/>
          <w:iCs w:val="false"/>
          <w:color w:val="1A1A2E"/>
          <w:sz w:val="22"/>
          <w:szCs w:val="22"/>
        </w:rPr>
        <w:t xml:space="preserve">5-minute sit-down arc (lunch table, scheduled meeting)</w:t>
      </w:r>
    </w:p>
    <w:p>
      <w:pPr>
        <w:spacing w:after="80" w:before="80"/>
        <w:jc w:val="left"/>
      </w:pPr>
      <w:r>
        <w:rPr>
          <w:rFonts w:ascii="Calibri" w:cs="Calibri" w:eastAsia="Calibri" w:hAnsi="Calibri"/>
          <w:b w:val="false"/>
          <w:bCs w:val="false"/>
          <w:i/>
          <w:iCs/>
          <w:color w:val="404040"/>
          <w:sz w:val="20"/>
          <w:szCs w:val="20"/>
        </w:rPr>
        <w:t xml:space="preserve">Use this when you have time and the buyer is leaning in. Beats are roughly: greeting &amp; context (30s) → the platform (60s) → the economic case (60s) → the quality trajectory (45s) → the ask + discovery (75s). Don’t recite — hit the beats and watch their face.</w:t>
      </w:r>
    </w:p>
    <w:p>
      <w:pPr>
        <w:spacing w:after="60" w:before="200"/>
      </w:pPr>
      <w:r>
        <w:rPr>
          <w:rFonts w:ascii="Calibri" w:cs="Calibri" w:eastAsia="Calibri" w:hAnsi="Calibri"/>
          <w:b/>
          <w:bCs/>
          <w:i w:val="false"/>
          <w:iCs w:val="false"/>
          <w:color w:val="1A1A2E"/>
          <w:sz w:val="22"/>
          <w:szCs w:val="22"/>
        </w:rPr>
        <w:t xml:space="preserve">Beat 1 — Greeting &amp;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102E" w:sz="18" w:space="4"/>
              <w:bottom w:val="none" w:color="FFFFFF" w:sz="0"/>
              <w:right w:val="none" w:color="FFFFFF" w:sz="0"/>
            </w:tcBorders>
            <w:shd w:fill="FCEEEE" w:val="clear"/>
            <w:tcMar>
              <w:top w:type="dxa" w:w="200"/>
              <w:left w:type="dxa" w:w="240"/>
              <w:bottom w:type="dxa" w:w="200"/>
              <w:right w:type="dxa" w:w="200"/>
            </w:tcMar>
          </w:tcPr>
          <w:p>
            <w:pPr>
              <w:spacing w:after="0" w:before="0"/>
            </w:pPr>
            <w:r>
              <w:rPr>
                <w:rFonts w:ascii="Calibri" w:cs="Calibri" w:eastAsia="Calibri" w:hAnsi="Calibri"/>
                <w:b w:val="false"/>
                <w:bCs w:val="false"/>
                <w:i/>
                <w:iCs/>
                <w:color w:val="1A1A2E"/>
                <w:sz w:val="22"/>
                <w:szCs w:val="22"/>
              </w:rPr>
              <w:t xml:space="preserve">Thanks for the time. I know the format today is tight, so let me earn the next ten minutes in the next two. I’ll tell you what we’re building, why we’re here, and then I want to learn what your sourcing pain looks like — because that’s what tells me if there’s anything to talk about.</w:t>
            </w:r>
          </w:p>
        </w:tc>
      </w:tr>
    </w:tbl>
    <w:p>
      <w:pPr>
        <w:spacing w:after="60" w:before="200"/>
      </w:pPr>
      <w:r>
        <w:rPr>
          <w:rFonts w:ascii="Calibri" w:cs="Calibri" w:eastAsia="Calibri" w:hAnsi="Calibri"/>
          <w:b/>
          <w:bCs/>
          <w:i w:val="false"/>
          <w:iCs w:val="false"/>
          <w:color w:val="1A1A2E"/>
          <w:sz w:val="22"/>
          <w:szCs w:val="22"/>
        </w:rPr>
        <w:t xml:space="preserve">Beat 2 —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102E" w:sz="18" w:space="4"/>
              <w:bottom w:val="none" w:color="FFFFFF" w:sz="0"/>
              <w:right w:val="none" w:color="FFFFFF" w:sz="0"/>
            </w:tcBorders>
            <w:shd w:fill="FCEEEE" w:val="clear"/>
            <w:tcMar>
              <w:top w:type="dxa" w:w="200"/>
              <w:left w:type="dxa" w:w="240"/>
              <w:bottom w:type="dxa" w:w="200"/>
              <w:right w:type="dxa" w:w="200"/>
            </w:tcMar>
          </w:tcPr>
          <w:p>
            <w:pPr>
              <w:spacing w:after="0" w:before="0"/>
            </w:pPr>
            <w:r>
              <w:rPr>
                <w:rFonts w:ascii="Calibri" w:cs="Calibri" w:eastAsia="Calibri" w:hAnsi="Calibri"/>
                <w:b w:val="false"/>
                <w:bCs w:val="false"/>
                <w:i/>
                <w:iCs/>
                <w:color w:val="1A1A2E"/>
                <w:sz w:val="22"/>
                <w:szCs w:val="22"/>
              </w:rPr>
              <w:t xml:space="preserve">Pet Factory is a new industrial pet food plant on the Atlantic coast of Morocco. Five tons per hour of dry kibble, FAMSUN turnkey — same equipment that runs in the largest plants worldwide. Wet line capability for pâté and chunks-in-gravy in the next phase. We’re an industrial platform, not a distributor: we make the product, and we’re built around private label and co-branded programs for retailers.</w:t>
            </w:r>
          </w:p>
        </w:tc>
      </w:tr>
    </w:tbl>
    <w:p>
      <w:pPr>
        <w:spacing w:after="60" w:before="200"/>
      </w:pPr>
      <w:r>
        <w:rPr>
          <w:rFonts w:ascii="Calibri" w:cs="Calibri" w:eastAsia="Calibri" w:hAnsi="Calibri"/>
          <w:b/>
          <w:bCs/>
          <w:i w:val="false"/>
          <w:iCs w:val="false"/>
          <w:color w:val="1A1A2E"/>
          <w:sz w:val="22"/>
          <w:szCs w:val="22"/>
        </w:rPr>
        <w:t xml:space="preserve">Beat 3 — The economic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102E" w:sz="18" w:space="4"/>
              <w:bottom w:val="none" w:color="FFFFFF" w:sz="0"/>
              <w:right w:val="none" w:color="FFFFFF" w:sz="0"/>
            </w:tcBorders>
            <w:shd w:fill="FCEEEE" w:val="clear"/>
            <w:tcMar>
              <w:top w:type="dxa" w:w="200"/>
              <w:left w:type="dxa" w:w="240"/>
              <w:bottom w:type="dxa" w:w="200"/>
              <w:right w:type="dxa" w:w="200"/>
            </w:tcMar>
          </w:tcPr>
          <w:p>
            <w:pPr>
              <w:spacing w:after="0" w:before="0"/>
            </w:pPr>
            <w:r>
              <w:rPr>
                <w:rFonts w:ascii="Calibri" w:cs="Calibri" w:eastAsia="Calibri" w:hAnsi="Calibri"/>
                <w:b w:val="false"/>
                <w:bCs w:val="false"/>
                <w:i/>
                <w:iCs/>
                <w:color w:val="1A1A2E"/>
                <w:sz w:val="22"/>
                <w:szCs w:val="22"/>
              </w:rPr>
              <w:t xml:space="preserve">Three structural reasons this matters for a North American buyer. One, the U.S.–Morocco Free Trade Agreement — duty-free on most qualifying goods, no Asian supplier can match that. Two, ten to twelve days transit to East Coast ports versus thirty-plus from Asia, which collapses your safety stock and reshapes your S&amp;OP. Three, currency stability — the dirham is pegged to a EUR/USD basket, predictable for multi-year programs. The math just works differently than Asia.</w:t>
            </w:r>
          </w:p>
        </w:tc>
      </w:tr>
    </w:tbl>
    <w:p>
      <w:pPr>
        <w:spacing w:after="60" w:before="200"/>
      </w:pPr>
      <w:r>
        <w:rPr>
          <w:rFonts w:ascii="Calibri" w:cs="Calibri" w:eastAsia="Calibri" w:hAnsi="Calibri"/>
          <w:b/>
          <w:bCs/>
          <w:i w:val="false"/>
          <w:iCs w:val="false"/>
          <w:color w:val="1A1A2E"/>
          <w:sz w:val="22"/>
          <w:szCs w:val="22"/>
        </w:rPr>
        <w:t xml:space="preserve">Beat 4 — The quality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102E" w:sz="18" w:space="4"/>
              <w:bottom w:val="none" w:color="FFFFFF" w:sz="0"/>
              <w:right w:val="none" w:color="FFFFFF" w:sz="0"/>
            </w:tcBorders>
            <w:shd w:fill="FCEEEE" w:val="clear"/>
            <w:tcMar>
              <w:top w:type="dxa" w:w="200"/>
              <w:left w:type="dxa" w:w="240"/>
              <w:bottom w:type="dxa" w:w="200"/>
              <w:right w:type="dxa" w:w="200"/>
            </w:tcMar>
          </w:tcPr>
          <w:p>
            <w:pPr>
              <w:spacing w:after="0" w:before="0"/>
            </w:pPr>
            <w:r>
              <w:rPr>
                <w:rFonts w:ascii="Calibri" w:cs="Calibri" w:eastAsia="Calibri" w:hAnsi="Calibri"/>
                <w:b w:val="false"/>
                <w:bCs w:val="false"/>
                <w:i/>
                <w:iCs/>
                <w:color w:val="1A1A2E"/>
                <w:sz w:val="22"/>
                <w:szCs w:val="22"/>
              </w:rPr>
              <w:t xml:space="preserve">On compliance: we’re building to EU export standards from day one because our first commercial partner is Normandie Pet Food in France — a real French operator targeting €300 million in revenue by 2030, capitalized through Bpifrance and Crédit Agricole. HACCP and ISO 22000 are in implementation. For the U.S., we’re mapping the FDA establishment registration and AAFCO-aligned labeling — we want to make import friction the buyer’s smallest problem, not their biggest.</w:t>
            </w:r>
          </w:p>
        </w:tc>
      </w:tr>
    </w:tbl>
    <w:p>
      <w:pPr>
        <w:spacing w:after="60" w:before="200"/>
      </w:pPr>
      <w:r>
        <w:rPr>
          <w:rFonts w:ascii="Calibri" w:cs="Calibri" w:eastAsia="Calibri" w:hAnsi="Calibri"/>
          <w:b/>
          <w:bCs/>
          <w:i w:val="false"/>
          <w:iCs w:val="false"/>
          <w:color w:val="1A1A2E"/>
          <w:sz w:val="22"/>
          <w:szCs w:val="22"/>
        </w:rPr>
        <w:t xml:space="preserve">Beat 5 — The ask +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102E" w:sz="18" w:space="4"/>
              <w:bottom w:val="none" w:color="FFFFFF" w:sz="0"/>
              <w:right w:val="none" w:color="FFFFFF" w:sz="0"/>
            </w:tcBorders>
            <w:shd w:fill="FCEEEE" w:val="clear"/>
            <w:tcMar>
              <w:top w:type="dxa" w:w="200"/>
              <w:left w:type="dxa" w:w="240"/>
              <w:bottom w:type="dxa" w:w="200"/>
              <w:right w:type="dxa" w:w="200"/>
            </w:tcMar>
          </w:tcPr>
          <w:p>
            <w:pPr>
              <w:spacing w:after="0" w:before="0"/>
            </w:pPr>
            <w:r>
              <w:rPr>
                <w:rFonts w:ascii="Calibri" w:cs="Calibri" w:eastAsia="Calibri" w:hAnsi="Calibri"/>
                <w:b w:val="false"/>
                <w:bCs w:val="false"/>
                <w:i/>
                <w:iCs/>
                <w:color w:val="1A1A2E"/>
                <w:sz w:val="22"/>
                <w:szCs w:val="22"/>
              </w:rPr>
              <w:t xml:space="preserve">Two questions for you. First, where does pet food sit in your portfolio today — own brand, licensed, exclusive? Second, what’s the worst part of your current supply chain on this category — lead times, FX, tariffs, capacity constraints, sustainability ask from your retailers? Whatever your real pain is, that’s where I can tell you in two minutes whether we’re a fit or not.</w:t>
            </w:r>
          </w:p>
        </w:tc>
      </w:tr>
    </w:tbl>
    <w:p>
      <w:pPr>
        <w:pBdr>
          <w:bottom w:val="single" w:color="C8102E" w:sz="6" w:space="2"/>
        </w:pBdr>
        <w:spacing w:after="100" w:before="280"/>
      </w:pPr>
      <w:r>
        <w:rPr>
          <w:rFonts w:ascii="Calibri" w:cs="Calibri" w:eastAsia="Calibri" w:hAnsi="Calibri"/>
          <w:b/>
          <w:bCs/>
          <w:i w:val="false"/>
          <w:iCs w:val="false"/>
          <w:color w:val="C8102E"/>
          <w:sz w:val="24"/>
          <w:szCs w:val="24"/>
        </w:rPr>
        <w:t xml:space="preserve">DISCOVERY QUESTIONS — KEEP THEM TALKING</w:t>
      </w:r>
    </w:p>
    <w:p>
      <w:pPr>
        <w:spacing w:after="80" w:before="80"/>
        <w:jc w:val="left"/>
      </w:pPr>
      <w:r>
        <w:rPr>
          <w:rFonts w:ascii="Calibri" w:cs="Calibri" w:eastAsia="Calibri" w:hAnsi="Calibri"/>
          <w:b w:val="false"/>
          <w:bCs w:val="false"/>
          <w:i/>
          <w:iCs/>
          <w:color w:val="404040"/>
          <w:sz w:val="20"/>
          <w:szCs w:val="20"/>
        </w:rPr>
        <w:t xml:space="preserve">If you only get them to answer three of these, you’ve done your job.</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How is pet food structured in your business today — own brand, exclusive distribution, private label, or all three?</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Where does the bulk of your current pet food product come from — domestic, Mexico, Asia?</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What’s the single biggest pain in that supply chain right now — lead times, tariffs, freight cost, quality, sustainability reporting?</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How important is the ‘Atlantic-side sourcing’ narrative for your retailer customers right now — nice-to-have or active mandate?</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If you were to add a new manufacturing partner in 2026, what’s the single condition they’d need to meet for it to be worth your time?</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What would a successful first program with us look like in volume and SKU count — and on what timeline?</w:t>
      </w:r>
    </w:p>
    <w:p>
      <w:pPr>
        <w:pBdr>
          <w:bottom w:val="single" w:color="C8102E" w:sz="6" w:space="2"/>
        </w:pBdr>
        <w:spacing w:after="100" w:before="280"/>
      </w:pPr>
      <w:r>
        <w:rPr>
          <w:rFonts w:ascii="Calibri" w:cs="Calibri" w:eastAsia="Calibri" w:hAnsi="Calibri"/>
          <w:b/>
          <w:bCs/>
          <w:i w:val="false"/>
          <w:iCs w:val="false"/>
          <w:color w:val="C8102E"/>
          <w:sz w:val="24"/>
          <w:szCs w:val="24"/>
        </w:rPr>
        <w:t xml:space="preserve">ANTICIPATED BUYER QUESTIONS &amp; HOW TO ANSWER</w:t>
      </w:r>
    </w:p>
    <w:p>
      <w:pPr>
        <w:spacing w:after="80" w:before="80"/>
        <w:jc w:val="left"/>
      </w:pPr>
      <w:r>
        <w:rPr>
          <w:rFonts w:ascii="Calibri" w:cs="Calibri" w:eastAsia="Calibri" w:hAnsi="Calibri"/>
          <w:b w:val="false"/>
          <w:bCs w:val="false"/>
          <w:i/>
          <w:iCs/>
          <w:color w:val="404040"/>
          <w:sz w:val="20"/>
          <w:szCs w:val="20"/>
        </w:rPr>
        <w:t xml:space="preserve">Use the Headline first — it’s the one line that needs to come out of your mouth in the first three seconds. Then layer the talking points only as the buyer pulls.</w:t>
      </w:r>
    </w:p>
    <w:p>
      <w:pPr>
        <w:spacing w:after="60" w:before="200"/>
      </w:pPr>
      <w:r>
        <w:rPr>
          <w:rFonts w:ascii="Calibri" w:cs="Calibri" w:eastAsia="Calibri" w:hAnsi="Calibri"/>
          <w:b/>
          <w:bCs/>
          <w:i w:val="false"/>
          <w:iCs w:val="false"/>
          <w:color w:val="C8102E"/>
          <w:sz w:val="22"/>
          <w:szCs w:val="22"/>
        </w:rPr>
        <w:t xml:space="preserve">Q1.  </w:t>
      </w:r>
      <w:r>
        <w:rPr>
          <w:rFonts w:ascii="Calibri" w:cs="Calibri" w:eastAsia="Calibri" w:hAnsi="Calibri"/>
          <w:b/>
          <w:bCs/>
          <w:i w:val="false"/>
          <w:iCs w:val="false"/>
          <w:color w:val="1A1A2E"/>
          <w:sz w:val="22"/>
          <w:szCs w:val="22"/>
        </w:rPr>
        <w:t xml:space="preserve">When can you actually 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6E43" w:sz="14" w:space="4"/>
              <w:bottom w:val="none" w:color="FFFFFF" w:sz="0"/>
              <w:right w:val="none" w:color="FFFFFF" w:sz="0"/>
            </w:tcBorders>
            <w:shd w:fill="FAF7F2" w:val="clear"/>
            <w:tcMar>
              <w:top w:type="dxa" w:w="140"/>
              <w:left w:type="dxa" w:w="200"/>
              <w:bottom w:type="dxa" w:w="140"/>
              <w:right w:type="dxa" w:w="200"/>
            </w:tcMar>
          </w:tcPr>
          <w:p>
            <w:pPr>
              <w:spacing w:after="0" w:before="0"/>
            </w:pPr>
            <w:r>
              <w:rPr>
                <w:rFonts w:ascii="Calibri" w:cs="Calibri" w:eastAsia="Calibri" w:hAnsi="Calibri"/>
                <w:b/>
                <w:bCs/>
                <w:i w:val="false"/>
                <w:iCs w:val="false"/>
                <w:color w:val="1F6E43"/>
                <w:sz w:val="20"/>
                <w:szCs w:val="20"/>
              </w:rPr>
              <w:t xml:space="preserve">Headline: </w:t>
            </w:r>
            <w:r>
              <w:rPr>
                <w:rFonts w:ascii="Calibri" w:cs="Calibri" w:eastAsia="Calibri" w:hAnsi="Calibri"/>
                <w:b w:val="false"/>
                <w:bCs w:val="false"/>
                <w:i/>
                <w:iCs/>
                <w:color w:val="1A1A2E"/>
                <w:sz w:val="20"/>
                <w:szCs w:val="20"/>
              </w:rPr>
              <w:t xml:space="preserve">We’re in the build-and-commissioning window now; first commercial production is targeted for [insert quarter], with first export shipments in [insert quarter].</w:t>
            </w:r>
          </w:p>
        </w:tc>
      </w:tr>
    </w:tbl>
    <w:p>
      <w:pPr>
        <w:spacing w:after="40" w:before="80"/>
      </w:pPr>
      <w:r>
        <w:rPr>
          <w:rFonts w:ascii="Calibri" w:cs="Calibri" w:eastAsia="Calibri" w:hAnsi="Calibri"/>
          <w:b/>
          <w:bCs/>
          <w:i w:val="false"/>
          <w:iCs w:val="false"/>
          <w:color w:val="1A1A2E"/>
          <w:sz w:val="19"/>
          <w:szCs w:val="19"/>
        </w:rPr>
        <w:t xml:space="preserve">Talking points:</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FAMSUN turnkey installation is in progress; HVAC supplementation engineering is complete.</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We are pre-qualifying anchor partners now precisely because we want their first POs lined up against the first commercial runs, not after.</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Trial production for recipe validation is available [insert] weeks before full commercial.</w:t>
      </w:r>
    </w:p>
    <w:p>
      <w:pPr>
        <w:spacing w:after="40" w:before="80"/>
      </w:pPr>
      <w:r>
        <w:rPr>
          <w:rFonts w:ascii="Calibri" w:cs="Calibri" w:eastAsia="Calibri" w:hAnsi="Calibri"/>
          <w:b/>
          <w:bCs/>
          <w:i w:val="false"/>
          <w:iCs w:val="false"/>
          <w:color w:val="C8102E"/>
          <w:sz w:val="19"/>
          <w:szCs w:val="19"/>
        </w:rPr>
        <w:t xml:space="preserve">⚑ Watch-out: </w:t>
      </w:r>
      <w:r>
        <w:rPr>
          <w:rFonts w:ascii="Calibri" w:cs="Calibri" w:eastAsia="Calibri" w:hAnsi="Calibri"/>
          <w:b w:val="false"/>
          <w:bCs w:val="false"/>
          <w:i/>
          <w:iCs/>
          <w:color w:val="404040"/>
          <w:sz w:val="19"/>
          <w:szCs w:val="19"/>
        </w:rPr>
        <w:t xml:space="preserve">Don’t commit to a specific shipping date in the meeting. Say ‘targeted’ and follow up in writing once you’ve checked the latest commissioning timeline.</w:t>
      </w:r>
    </w:p>
    <w:p>
      <w:pPr>
        <w:spacing w:after="60" w:before="200"/>
      </w:pPr>
      <w:r>
        <w:rPr>
          <w:rFonts w:ascii="Calibri" w:cs="Calibri" w:eastAsia="Calibri" w:hAnsi="Calibri"/>
          <w:b/>
          <w:bCs/>
          <w:i w:val="false"/>
          <w:iCs w:val="false"/>
          <w:color w:val="C8102E"/>
          <w:sz w:val="22"/>
          <w:szCs w:val="22"/>
        </w:rPr>
        <w:t xml:space="preserve">Q2.  </w:t>
      </w:r>
      <w:r>
        <w:rPr>
          <w:rFonts w:ascii="Calibri" w:cs="Calibri" w:eastAsia="Calibri" w:hAnsi="Calibri"/>
          <w:b/>
          <w:bCs/>
          <w:i w:val="false"/>
          <w:iCs w:val="false"/>
          <w:color w:val="1A1A2E"/>
          <w:sz w:val="22"/>
          <w:szCs w:val="22"/>
        </w:rPr>
        <w:t xml:space="preserve">Are you already committed to your French partner — do you have capacity for 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6E43" w:sz="14" w:space="4"/>
              <w:bottom w:val="none" w:color="FFFFFF" w:sz="0"/>
              <w:right w:val="none" w:color="FFFFFF" w:sz="0"/>
            </w:tcBorders>
            <w:shd w:fill="FAF7F2" w:val="clear"/>
            <w:tcMar>
              <w:top w:type="dxa" w:w="140"/>
              <w:left w:type="dxa" w:w="200"/>
              <w:bottom w:type="dxa" w:w="140"/>
              <w:right w:type="dxa" w:w="200"/>
            </w:tcMar>
          </w:tcPr>
          <w:p>
            <w:pPr>
              <w:spacing w:after="0" w:before="0"/>
            </w:pPr>
            <w:r>
              <w:rPr>
                <w:rFonts w:ascii="Calibri" w:cs="Calibri" w:eastAsia="Calibri" w:hAnsi="Calibri"/>
                <w:b/>
                <w:bCs/>
                <w:i w:val="false"/>
                <w:iCs w:val="false"/>
                <w:color w:val="1F6E43"/>
                <w:sz w:val="20"/>
                <w:szCs w:val="20"/>
              </w:rPr>
              <w:t xml:space="preserve">Headline: </w:t>
            </w:r>
            <w:r>
              <w:rPr>
                <w:rFonts w:ascii="Calibri" w:cs="Calibri" w:eastAsia="Calibri" w:hAnsi="Calibri"/>
                <w:b w:val="false"/>
                <w:bCs w:val="false"/>
                <w:i/>
                <w:iCs/>
                <w:color w:val="1A1A2E"/>
                <w:sz w:val="20"/>
                <w:szCs w:val="20"/>
              </w:rPr>
              <w:t xml:space="preserve">Petland retains 100% ownership of the factory, and our agreement with Normandie is a contractual JV, not an equity lock-up. Capacity allocation between markets is a commercial decision, not a structural one.</w:t>
            </w:r>
          </w:p>
        </w:tc>
      </w:tr>
    </w:tbl>
    <w:p>
      <w:pPr>
        <w:spacing w:after="40" w:before="80"/>
      </w:pPr>
      <w:r>
        <w:rPr>
          <w:rFonts w:ascii="Calibri" w:cs="Calibri" w:eastAsia="Calibri" w:hAnsi="Calibri"/>
          <w:b/>
          <w:bCs/>
          <w:i w:val="false"/>
          <w:iCs w:val="false"/>
          <w:color w:val="1A1A2E"/>
          <w:sz w:val="19"/>
          <w:szCs w:val="19"/>
        </w:rPr>
        <w:t xml:space="preserve">Talking points:</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The arrangement with Normandie covers the European go-to-market — it does not give them ownership of the asset or exclusivity over our capacity.</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We’ve specifically architected the deal so we can build a parallel North American program. This event is part of that.</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We’re reserving a meaningful slice of first-year output for two to three North American anchor partners.</w:t>
      </w:r>
    </w:p>
    <w:p>
      <w:pPr>
        <w:spacing w:after="40" w:before="80"/>
      </w:pPr>
      <w:r>
        <w:rPr>
          <w:rFonts w:ascii="Calibri" w:cs="Calibri" w:eastAsia="Calibri" w:hAnsi="Calibri"/>
          <w:b/>
          <w:bCs/>
          <w:i w:val="false"/>
          <w:iCs w:val="false"/>
          <w:color w:val="C8102E"/>
          <w:sz w:val="19"/>
          <w:szCs w:val="19"/>
        </w:rPr>
        <w:t xml:space="preserve">⚑ Watch-out: </w:t>
      </w:r>
      <w:r>
        <w:rPr>
          <w:rFonts w:ascii="Calibri" w:cs="Calibri" w:eastAsia="Calibri" w:hAnsi="Calibri"/>
          <w:b w:val="false"/>
          <w:bCs w:val="false"/>
          <w:i/>
          <w:iCs/>
          <w:color w:val="404040"/>
          <w:sz w:val="19"/>
          <w:szCs w:val="19"/>
        </w:rPr>
        <w:t xml:space="preserve">Don’t share specific deal economics, revenue splits, or capacity percentages with Normandie. ‘Contractual JV, asset stays with Petland’ is enough.</w:t>
      </w:r>
    </w:p>
    <w:p>
      <w:pPr>
        <w:spacing w:after="60" w:before="200"/>
      </w:pPr>
      <w:r>
        <w:rPr>
          <w:rFonts w:ascii="Calibri" w:cs="Calibri" w:eastAsia="Calibri" w:hAnsi="Calibri"/>
          <w:b/>
          <w:bCs/>
          <w:i w:val="false"/>
          <w:iCs w:val="false"/>
          <w:color w:val="C8102E"/>
          <w:sz w:val="22"/>
          <w:szCs w:val="22"/>
        </w:rPr>
        <w:t xml:space="preserve">Q3.  </w:t>
      </w:r>
      <w:r>
        <w:rPr>
          <w:rFonts w:ascii="Calibri" w:cs="Calibri" w:eastAsia="Calibri" w:hAnsi="Calibri"/>
          <w:b/>
          <w:bCs/>
          <w:i w:val="false"/>
          <w:iCs w:val="false"/>
          <w:color w:val="1A1A2E"/>
          <w:sz w:val="22"/>
          <w:szCs w:val="22"/>
        </w:rPr>
        <w:t xml:space="preserve">What does pricing look like versus our current Asian / Mexican supplier?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6E43" w:sz="14" w:space="4"/>
              <w:bottom w:val="none" w:color="FFFFFF" w:sz="0"/>
              <w:right w:val="none" w:color="FFFFFF" w:sz="0"/>
            </w:tcBorders>
            <w:shd w:fill="FAF7F2" w:val="clear"/>
            <w:tcMar>
              <w:top w:type="dxa" w:w="140"/>
              <w:left w:type="dxa" w:w="200"/>
              <w:bottom w:type="dxa" w:w="140"/>
              <w:right w:type="dxa" w:w="200"/>
            </w:tcMar>
          </w:tcPr>
          <w:p>
            <w:pPr>
              <w:spacing w:after="0" w:before="0"/>
            </w:pPr>
            <w:r>
              <w:rPr>
                <w:rFonts w:ascii="Calibri" w:cs="Calibri" w:eastAsia="Calibri" w:hAnsi="Calibri"/>
                <w:b/>
                <w:bCs/>
                <w:i w:val="false"/>
                <w:iCs w:val="false"/>
                <w:color w:val="1F6E43"/>
                <w:sz w:val="20"/>
                <w:szCs w:val="20"/>
              </w:rPr>
              <w:t xml:space="preserve">Headline: </w:t>
            </w:r>
            <w:r>
              <w:rPr>
                <w:rFonts w:ascii="Calibri" w:cs="Calibri" w:eastAsia="Calibri" w:hAnsi="Calibri"/>
                <w:b w:val="false"/>
                <w:bCs w:val="false"/>
                <w:i/>
                <w:iCs/>
                <w:color w:val="1A1A2E"/>
                <w:sz w:val="20"/>
                <w:szCs w:val="20"/>
              </w:rPr>
              <w:t xml:space="preserve">We don’t price in a meeting — we price against a recipe spec. But the duty-free FTA access plus the transit and inventory-carrying advantage usually puts us within a tight band of nearshore Mexican pricing, with better quality positioning.</w:t>
            </w:r>
          </w:p>
        </w:tc>
      </w:tr>
    </w:tbl>
    <w:p>
      <w:pPr>
        <w:spacing w:after="40" w:before="80"/>
      </w:pPr>
      <w:r>
        <w:rPr>
          <w:rFonts w:ascii="Calibri" w:cs="Calibri" w:eastAsia="Calibri" w:hAnsi="Calibri"/>
          <w:b/>
          <w:bCs/>
          <w:i w:val="false"/>
          <w:iCs w:val="false"/>
          <w:color w:val="1A1A2E"/>
          <w:sz w:val="19"/>
          <w:szCs w:val="19"/>
        </w:rPr>
        <w:t xml:space="preserve">Talking points:</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Pricing depends on recipe (protein source, inclusion levels, palatant), pack format, MOQ, and Incoterms.</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Send us your spec or your current supplier’s spec and we’ll come back with a structured quote within [insert] business days.</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Total landed cost — not FOB — is the right comparison. Our number usually moves up the rankings when you include duty, freight volatility, and safety stock.</w:t>
      </w:r>
    </w:p>
    <w:p>
      <w:pPr>
        <w:spacing w:after="40" w:before="80"/>
      </w:pPr>
      <w:r>
        <w:rPr>
          <w:rFonts w:ascii="Calibri" w:cs="Calibri" w:eastAsia="Calibri" w:hAnsi="Calibri"/>
          <w:b/>
          <w:bCs/>
          <w:i w:val="false"/>
          <w:iCs w:val="false"/>
          <w:color w:val="C8102E"/>
          <w:sz w:val="19"/>
          <w:szCs w:val="19"/>
        </w:rPr>
        <w:t xml:space="preserve">⚑ Watch-out: </w:t>
      </w:r>
      <w:r>
        <w:rPr>
          <w:rFonts w:ascii="Calibri" w:cs="Calibri" w:eastAsia="Calibri" w:hAnsi="Calibri"/>
          <w:b w:val="false"/>
          <w:bCs w:val="false"/>
          <w:i/>
          <w:iCs/>
          <w:color w:val="404040"/>
          <w:sz w:val="19"/>
          <w:szCs w:val="19"/>
        </w:rPr>
        <w:t xml:space="preserve">Never quote a per-kg price on the spot. ‘Spec first, quote second’ is the discipline.</w:t>
      </w:r>
    </w:p>
    <w:p>
      <w:pPr>
        <w:spacing w:after="60" w:before="200"/>
      </w:pPr>
      <w:r>
        <w:rPr>
          <w:rFonts w:ascii="Calibri" w:cs="Calibri" w:eastAsia="Calibri" w:hAnsi="Calibri"/>
          <w:b/>
          <w:bCs/>
          <w:i w:val="false"/>
          <w:iCs w:val="false"/>
          <w:color w:val="C8102E"/>
          <w:sz w:val="22"/>
          <w:szCs w:val="22"/>
        </w:rPr>
        <w:t xml:space="preserve">Q4.  </w:t>
      </w:r>
      <w:r>
        <w:rPr>
          <w:rFonts w:ascii="Calibri" w:cs="Calibri" w:eastAsia="Calibri" w:hAnsi="Calibri"/>
          <w:b/>
          <w:bCs/>
          <w:i w:val="false"/>
          <w:iCs w:val="false"/>
          <w:color w:val="1A1A2E"/>
          <w:sz w:val="22"/>
          <w:szCs w:val="22"/>
        </w:rPr>
        <w:t xml:space="preserve">What’s your MOQ?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6E43" w:sz="14" w:space="4"/>
              <w:bottom w:val="none" w:color="FFFFFF" w:sz="0"/>
              <w:right w:val="none" w:color="FFFFFF" w:sz="0"/>
            </w:tcBorders>
            <w:shd w:fill="FAF7F2" w:val="clear"/>
            <w:tcMar>
              <w:top w:type="dxa" w:w="140"/>
              <w:left w:type="dxa" w:w="200"/>
              <w:bottom w:type="dxa" w:w="140"/>
              <w:right w:type="dxa" w:w="200"/>
            </w:tcMar>
          </w:tcPr>
          <w:p>
            <w:pPr>
              <w:spacing w:after="0" w:before="0"/>
            </w:pPr>
            <w:r>
              <w:rPr>
                <w:rFonts w:ascii="Calibri" w:cs="Calibri" w:eastAsia="Calibri" w:hAnsi="Calibri"/>
                <w:b/>
                <w:bCs/>
                <w:i w:val="false"/>
                <w:iCs w:val="false"/>
                <w:color w:val="1F6E43"/>
                <w:sz w:val="20"/>
                <w:szCs w:val="20"/>
              </w:rPr>
              <w:t xml:space="preserve">Headline: </w:t>
            </w:r>
            <w:r>
              <w:rPr>
                <w:rFonts w:ascii="Calibri" w:cs="Calibri" w:eastAsia="Calibri" w:hAnsi="Calibri"/>
                <w:b w:val="false"/>
                <w:bCs w:val="false"/>
                <w:i/>
                <w:iCs/>
                <w:color w:val="1A1A2E"/>
                <w:sz w:val="20"/>
                <w:szCs w:val="20"/>
              </w:rPr>
              <w:t xml:space="preserve">We’re built around full-container economics, so commercial MOQs are a 20- or 40-foot container per SKU. Trial and recipe-validation runs are available below that for qualified partners.</w:t>
            </w:r>
          </w:p>
        </w:tc>
      </w:tr>
    </w:tbl>
    <w:p>
      <w:pPr>
        <w:spacing w:after="40" w:before="80"/>
      </w:pPr>
      <w:r>
        <w:rPr>
          <w:rFonts w:ascii="Calibri" w:cs="Calibri" w:eastAsia="Calibri" w:hAnsi="Calibri"/>
          <w:b/>
          <w:bCs/>
          <w:i w:val="false"/>
          <w:iCs w:val="false"/>
          <w:color w:val="1A1A2E"/>
          <w:sz w:val="19"/>
          <w:szCs w:val="19"/>
        </w:rPr>
        <w:t xml:space="preserve">Talking points:</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Full-container ordering is what makes the FTA + Atlantic transit math work for both sides.</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We can split a container across compatible SKUs for launch programs.</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Pre-launch trials for recipe validation are a separate conversation and don’t require commercial MOQ.</w:t>
      </w:r>
    </w:p>
    <w:p>
      <w:pPr>
        <w:spacing w:after="40" w:before="80"/>
      </w:pPr>
      <w:r>
        <w:rPr>
          <w:rFonts w:ascii="Calibri" w:cs="Calibri" w:eastAsia="Calibri" w:hAnsi="Calibri"/>
          <w:b/>
          <w:bCs/>
          <w:i w:val="false"/>
          <w:iCs w:val="false"/>
          <w:color w:val="C8102E"/>
          <w:sz w:val="19"/>
          <w:szCs w:val="19"/>
        </w:rPr>
        <w:t xml:space="preserve">⚑ Watch-out: </w:t>
      </w:r>
      <w:r>
        <w:rPr>
          <w:rFonts w:ascii="Calibri" w:cs="Calibri" w:eastAsia="Calibri" w:hAnsi="Calibri"/>
          <w:b w:val="false"/>
          <w:bCs w:val="false"/>
          <w:i/>
          <w:iCs/>
          <w:color w:val="404040"/>
          <w:sz w:val="19"/>
          <w:szCs w:val="19"/>
        </w:rPr>
        <w:t xml:space="preserve">Don’t commit to specific kg or pallet figures. Frame in containers.</w:t>
      </w:r>
    </w:p>
    <w:p>
      <w:pPr>
        <w:spacing w:after="60" w:before="200"/>
      </w:pPr>
      <w:r>
        <w:rPr>
          <w:rFonts w:ascii="Calibri" w:cs="Calibri" w:eastAsia="Calibri" w:hAnsi="Calibri"/>
          <w:b/>
          <w:bCs/>
          <w:i w:val="false"/>
          <w:iCs w:val="false"/>
          <w:color w:val="C8102E"/>
          <w:sz w:val="22"/>
          <w:szCs w:val="22"/>
        </w:rPr>
        <w:t xml:space="preserve">Q5.  </w:t>
      </w:r>
      <w:r>
        <w:rPr>
          <w:rFonts w:ascii="Calibri" w:cs="Calibri" w:eastAsia="Calibri" w:hAnsi="Calibri"/>
          <w:b/>
          <w:bCs/>
          <w:i w:val="false"/>
          <w:iCs w:val="false"/>
          <w:color w:val="1A1A2E"/>
          <w:sz w:val="22"/>
          <w:szCs w:val="22"/>
        </w:rPr>
        <w:t xml:space="preserve">Which certifications do you have right now — not on a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6E43" w:sz="14" w:space="4"/>
              <w:bottom w:val="none" w:color="FFFFFF" w:sz="0"/>
              <w:right w:val="none" w:color="FFFFFF" w:sz="0"/>
            </w:tcBorders>
            <w:shd w:fill="FAF7F2" w:val="clear"/>
            <w:tcMar>
              <w:top w:type="dxa" w:w="140"/>
              <w:left w:type="dxa" w:w="200"/>
              <w:bottom w:type="dxa" w:w="140"/>
              <w:right w:type="dxa" w:w="200"/>
            </w:tcMar>
          </w:tcPr>
          <w:p>
            <w:pPr>
              <w:spacing w:after="0" w:before="0"/>
            </w:pPr>
            <w:r>
              <w:rPr>
                <w:rFonts w:ascii="Calibri" w:cs="Calibri" w:eastAsia="Calibri" w:hAnsi="Calibri"/>
                <w:b/>
                <w:bCs/>
                <w:i w:val="false"/>
                <w:iCs w:val="false"/>
                <w:color w:val="1F6E43"/>
                <w:sz w:val="20"/>
                <w:szCs w:val="20"/>
              </w:rPr>
              <w:t xml:space="preserve">Headline: </w:t>
            </w:r>
            <w:r>
              <w:rPr>
                <w:rFonts w:ascii="Calibri" w:cs="Calibri" w:eastAsia="Calibri" w:hAnsi="Calibri"/>
                <w:b w:val="false"/>
                <w:bCs w:val="false"/>
                <w:i/>
                <w:iCs/>
                <w:color w:val="1A1A2E"/>
                <w:sz w:val="20"/>
                <w:szCs w:val="20"/>
              </w:rPr>
              <w:t xml:space="preserve">We’re commissioning the plant now, so today the honest answer is: foundation systems are being built into the line from day one, and the formal certifications are sequenced for [insert] through commissioning and first production.</w:t>
            </w:r>
          </w:p>
        </w:tc>
      </w:tr>
    </w:tbl>
    <w:p>
      <w:pPr>
        <w:spacing w:after="40" w:before="80"/>
      </w:pPr>
      <w:r>
        <w:rPr>
          <w:rFonts w:ascii="Calibri" w:cs="Calibri" w:eastAsia="Calibri" w:hAnsi="Calibri"/>
          <w:b/>
          <w:bCs/>
          <w:i w:val="false"/>
          <w:iCs w:val="false"/>
          <w:color w:val="1A1A2E"/>
          <w:sz w:val="19"/>
          <w:szCs w:val="19"/>
        </w:rPr>
        <w:t xml:space="preserve">Talking points:</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FAMSUN line is engineered with HACCP and ISO-22000-grade traceability built in — the certification is procedural, not structural.</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FDA establishment registration and AAFCO-aligned labeling are part of the U.S. import preparation.</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Our French JV partner is targeting EU export, which forces us to a higher compliance bar than U.S. minimums.</w:t>
      </w:r>
    </w:p>
    <w:p>
      <w:pPr>
        <w:spacing w:after="40" w:before="80"/>
      </w:pPr>
      <w:r>
        <w:rPr>
          <w:rFonts w:ascii="Calibri" w:cs="Calibri" w:eastAsia="Calibri" w:hAnsi="Calibri"/>
          <w:b/>
          <w:bCs/>
          <w:i w:val="false"/>
          <w:iCs w:val="false"/>
          <w:color w:val="C8102E"/>
          <w:sz w:val="19"/>
          <w:szCs w:val="19"/>
        </w:rPr>
        <w:t xml:space="preserve">⚑ Watch-out: </w:t>
      </w:r>
      <w:r>
        <w:rPr>
          <w:rFonts w:ascii="Calibri" w:cs="Calibri" w:eastAsia="Calibri" w:hAnsi="Calibri"/>
          <w:b w:val="false"/>
          <w:bCs w:val="false"/>
          <w:i/>
          <w:iCs/>
          <w:color w:val="404040"/>
          <w:sz w:val="19"/>
          <w:szCs w:val="19"/>
        </w:rPr>
        <w:t xml:space="preserve">Don’t claim certifications you don’t have. ‘In implementation’ is fine. ‘We’re HACCP certified’ when you aren’t will end the relationship faster than nothing else.</w:t>
      </w:r>
    </w:p>
    <w:p>
      <w:pPr>
        <w:spacing w:after="60" w:before="200"/>
      </w:pPr>
      <w:r>
        <w:rPr>
          <w:rFonts w:ascii="Calibri" w:cs="Calibri" w:eastAsia="Calibri" w:hAnsi="Calibri"/>
          <w:b/>
          <w:bCs/>
          <w:i w:val="false"/>
          <w:iCs w:val="false"/>
          <w:color w:val="C8102E"/>
          <w:sz w:val="22"/>
          <w:szCs w:val="22"/>
        </w:rPr>
        <w:t xml:space="preserve">Q6.  </w:t>
      </w:r>
      <w:r>
        <w:rPr>
          <w:rFonts w:ascii="Calibri" w:cs="Calibri" w:eastAsia="Calibri" w:hAnsi="Calibri"/>
          <w:b/>
          <w:bCs/>
          <w:i w:val="false"/>
          <w:iCs w:val="false"/>
          <w:color w:val="1A1A2E"/>
          <w:sz w:val="22"/>
          <w:szCs w:val="22"/>
        </w:rPr>
        <w:t xml:space="preserve">Where do you source your raw ingredients? Morocco isn’t exactly a beef country.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6E43" w:sz="14" w:space="4"/>
              <w:bottom w:val="none" w:color="FFFFFF" w:sz="0"/>
              <w:right w:val="none" w:color="FFFFFF" w:sz="0"/>
            </w:tcBorders>
            <w:shd w:fill="FAF7F2" w:val="clear"/>
            <w:tcMar>
              <w:top w:type="dxa" w:w="140"/>
              <w:left w:type="dxa" w:w="200"/>
              <w:bottom w:type="dxa" w:w="140"/>
              <w:right w:type="dxa" w:w="200"/>
            </w:tcMar>
          </w:tcPr>
          <w:p>
            <w:pPr>
              <w:spacing w:after="0" w:before="0"/>
            </w:pPr>
            <w:r>
              <w:rPr>
                <w:rFonts w:ascii="Calibri" w:cs="Calibri" w:eastAsia="Calibri" w:hAnsi="Calibri"/>
                <w:b/>
                <w:bCs/>
                <w:i w:val="false"/>
                <w:iCs w:val="false"/>
                <w:color w:val="1F6E43"/>
                <w:sz w:val="20"/>
                <w:szCs w:val="20"/>
              </w:rPr>
              <w:t xml:space="preserve">Headline: </w:t>
            </w:r>
            <w:r>
              <w:rPr>
                <w:rFonts w:ascii="Calibri" w:cs="Calibri" w:eastAsia="Calibri" w:hAnsi="Calibri"/>
                <w:b w:val="false"/>
                <w:bCs w:val="false"/>
                <w:i/>
                <w:iCs/>
                <w:color w:val="1A1A2E"/>
                <w:sz w:val="20"/>
                <w:szCs w:val="20"/>
              </w:rPr>
              <w:t xml:space="preserve">Ingredient sourcing is mixed: rendered proteins and cereals are sourced through qualified suppliers in the Mediterranean and EU corridor, with a clear traceability chain. We’re not pretending Morocco grows everything — we’re using Morocco as the manufacturing and FTA platform.</w:t>
            </w:r>
          </w:p>
        </w:tc>
      </w:tr>
    </w:tbl>
    <w:p>
      <w:pPr>
        <w:spacing w:after="40" w:before="80"/>
      </w:pPr>
      <w:r>
        <w:rPr>
          <w:rFonts w:ascii="Calibri" w:cs="Calibri" w:eastAsia="Calibri" w:hAnsi="Calibri"/>
          <w:b/>
          <w:bCs/>
          <w:i w:val="false"/>
          <w:iCs w:val="false"/>
          <w:color w:val="1A1A2E"/>
          <w:sz w:val="19"/>
          <w:szCs w:val="19"/>
        </w:rPr>
        <w:t xml:space="preserve">Talking points:</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Morocco is the manufacturing location and the FTA / logistics platform — not necessarily the protein farm.</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We have access to EU and Mediterranean suppliers for proteins, fats, grains, vitamins, and palatants — the same pool feeding most premium European pet food.</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Supplier qualification, COAs, and traceability are part of the FAMSUN-line documentation.</w:t>
      </w:r>
    </w:p>
    <w:p>
      <w:pPr>
        <w:spacing w:after="40" w:before="80"/>
      </w:pPr>
      <w:r>
        <w:rPr>
          <w:rFonts w:ascii="Calibri" w:cs="Calibri" w:eastAsia="Calibri" w:hAnsi="Calibri"/>
          <w:b/>
          <w:bCs/>
          <w:i w:val="false"/>
          <w:iCs w:val="false"/>
          <w:color w:val="C8102E"/>
          <w:sz w:val="19"/>
          <w:szCs w:val="19"/>
        </w:rPr>
        <w:t xml:space="preserve">⚑ Watch-out: </w:t>
      </w:r>
      <w:r>
        <w:rPr>
          <w:rFonts w:ascii="Calibri" w:cs="Calibri" w:eastAsia="Calibri" w:hAnsi="Calibri"/>
          <w:b w:val="false"/>
          <w:bCs w:val="false"/>
          <w:i/>
          <w:iCs/>
          <w:color w:val="404040"/>
          <w:sz w:val="19"/>
          <w:szCs w:val="19"/>
        </w:rPr>
        <w:t xml:space="preserve">Don’t overclaim ‘Moroccan local sourcing’ as a marketing story until you’re sure of the percentage. Buyers will check.</w:t>
      </w:r>
    </w:p>
    <w:p>
      <w:pPr>
        <w:spacing w:after="60" w:before="200"/>
      </w:pPr>
      <w:r>
        <w:rPr>
          <w:rFonts w:ascii="Calibri" w:cs="Calibri" w:eastAsia="Calibri" w:hAnsi="Calibri"/>
          <w:b/>
          <w:bCs/>
          <w:i w:val="false"/>
          <w:iCs w:val="false"/>
          <w:color w:val="C8102E"/>
          <w:sz w:val="22"/>
          <w:szCs w:val="22"/>
        </w:rPr>
        <w:t xml:space="preserve">Q7.  </w:t>
      </w:r>
      <w:r>
        <w:rPr>
          <w:rFonts w:ascii="Calibri" w:cs="Calibri" w:eastAsia="Calibri" w:hAnsi="Calibri"/>
          <w:b/>
          <w:bCs/>
          <w:i w:val="false"/>
          <w:iCs w:val="false"/>
          <w:color w:val="1A1A2E"/>
          <w:sz w:val="22"/>
          <w:szCs w:val="22"/>
        </w:rPr>
        <w:t xml:space="preserve">Will you handle FDA registration / AAFCO labels / U.S. import compliance, or is that on 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6E43" w:sz="14" w:space="4"/>
              <w:bottom w:val="none" w:color="FFFFFF" w:sz="0"/>
              <w:right w:val="none" w:color="FFFFFF" w:sz="0"/>
            </w:tcBorders>
            <w:shd w:fill="FAF7F2" w:val="clear"/>
            <w:tcMar>
              <w:top w:type="dxa" w:w="140"/>
              <w:left w:type="dxa" w:w="200"/>
              <w:bottom w:type="dxa" w:w="140"/>
              <w:right w:type="dxa" w:w="200"/>
            </w:tcMar>
          </w:tcPr>
          <w:p>
            <w:pPr>
              <w:spacing w:after="0" w:before="0"/>
            </w:pPr>
            <w:r>
              <w:rPr>
                <w:rFonts w:ascii="Calibri" w:cs="Calibri" w:eastAsia="Calibri" w:hAnsi="Calibri"/>
                <w:b/>
                <w:bCs/>
                <w:i w:val="false"/>
                <w:iCs w:val="false"/>
                <w:color w:val="1F6E43"/>
                <w:sz w:val="20"/>
                <w:szCs w:val="20"/>
              </w:rPr>
              <w:t xml:space="preserve">Headline: </w:t>
            </w:r>
            <w:r>
              <w:rPr>
                <w:rFonts w:ascii="Calibri" w:cs="Calibri" w:eastAsia="Calibri" w:hAnsi="Calibri"/>
                <w:b w:val="false"/>
                <w:bCs w:val="false"/>
                <w:i/>
                <w:iCs/>
                <w:color w:val="1A1A2E"/>
                <w:sz w:val="20"/>
                <w:szCs w:val="20"/>
              </w:rPr>
              <w:t xml:space="preserve">We’re building the U.S. import compliance into our platform on purpose so it’s the smallest part of your problem, not the biggest. Final responsibility allocation is in the contract, but the heavy lifting sits with us.</w:t>
            </w:r>
          </w:p>
        </w:tc>
      </w:tr>
    </w:tbl>
    <w:p>
      <w:pPr>
        <w:spacing w:after="40" w:before="80"/>
      </w:pPr>
      <w:r>
        <w:rPr>
          <w:rFonts w:ascii="Calibri" w:cs="Calibri" w:eastAsia="Calibri" w:hAnsi="Calibri"/>
          <w:b/>
          <w:bCs/>
          <w:i w:val="false"/>
          <w:iCs w:val="false"/>
          <w:color w:val="1A1A2E"/>
          <w:sz w:val="19"/>
          <w:szCs w:val="19"/>
        </w:rPr>
        <w:t xml:space="preserve">Talking points:</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FDA establishment registration is on us as the manufacturer of record.</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AAFCO-aligned label preparation is a shared exercise: we draft against your brand standards, you approve.</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Customs entry, broker selection, and DDP routing are negotiable per Incoterm.</w:t>
      </w:r>
    </w:p>
    <w:p>
      <w:pPr>
        <w:spacing w:after="40" w:before="80"/>
      </w:pPr>
      <w:r>
        <w:rPr>
          <w:rFonts w:ascii="Calibri" w:cs="Calibri" w:eastAsia="Calibri" w:hAnsi="Calibri"/>
          <w:b/>
          <w:bCs/>
          <w:i w:val="false"/>
          <w:iCs w:val="false"/>
          <w:color w:val="C8102E"/>
          <w:sz w:val="19"/>
          <w:szCs w:val="19"/>
        </w:rPr>
        <w:t xml:space="preserve">⚑ Watch-out: </w:t>
      </w:r>
      <w:r>
        <w:rPr>
          <w:rFonts w:ascii="Calibri" w:cs="Calibri" w:eastAsia="Calibri" w:hAnsi="Calibri"/>
          <w:b w:val="false"/>
          <w:bCs w:val="false"/>
          <w:i/>
          <w:iCs/>
          <w:color w:val="404040"/>
          <w:sz w:val="19"/>
          <w:szCs w:val="19"/>
        </w:rPr>
        <w:t xml:space="preserve">Don’t promise to take 100% of import compliance off the buyer. Final brand-side compliance always sits with the importer of record.</w:t>
      </w:r>
    </w:p>
    <w:p>
      <w:pPr>
        <w:spacing w:after="60" w:before="200"/>
      </w:pPr>
      <w:r>
        <w:rPr>
          <w:rFonts w:ascii="Calibri" w:cs="Calibri" w:eastAsia="Calibri" w:hAnsi="Calibri"/>
          <w:b/>
          <w:bCs/>
          <w:i w:val="false"/>
          <w:iCs w:val="false"/>
          <w:color w:val="C8102E"/>
          <w:sz w:val="22"/>
          <w:szCs w:val="22"/>
        </w:rPr>
        <w:t xml:space="preserve">Q8.  </w:t>
      </w:r>
      <w:r>
        <w:rPr>
          <w:rFonts w:ascii="Calibri" w:cs="Calibri" w:eastAsia="Calibri" w:hAnsi="Calibri"/>
          <w:b/>
          <w:bCs/>
          <w:i w:val="false"/>
          <w:iCs w:val="false"/>
          <w:color w:val="1A1A2E"/>
          <w:sz w:val="22"/>
          <w:szCs w:val="22"/>
        </w:rPr>
        <w:t xml:space="preserve">Why should I trust a brand-new manufacturer? Why not stick with my current supplier?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6E43" w:sz="14" w:space="4"/>
              <w:bottom w:val="none" w:color="FFFFFF" w:sz="0"/>
              <w:right w:val="none" w:color="FFFFFF" w:sz="0"/>
            </w:tcBorders>
            <w:shd w:fill="FAF7F2" w:val="clear"/>
            <w:tcMar>
              <w:top w:type="dxa" w:w="140"/>
              <w:left w:type="dxa" w:w="200"/>
              <w:bottom w:type="dxa" w:w="140"/>
              <w:right w:type="dxa" w:w="200"/>
            </w:tcMar>
          </w:tcPr>
          <w:p>
            <w:pPr>
              <w:spacing w:after="0" w:before="0"/>
            </w:pPr>
            <w:r>
              <w:rPr>
                <w:rFonts w:ascii="Calibri" w:cs="Calibri" w:eastAsia="Calibri" w:hAnsi="Calibri"/>
                <w:b/>
                <w:bCs/>
                <w:i w:val="false"/>
                <w:iCs w:val="false"/>
                <w:color w:val="1F6E43"/>
                <w:sz w:val="20"/>
                <w:szCs w:val="20"/>
              </w:rPr>
              <w:t xml:space="preserve">Headline: </w:t>
            </w:r>
            <w:r>
              <w:rPr>
                <w:rFonts w:ascii="Calibri" w:cs="Calibri" w:eastAsia="Calibri" w:hAnsi="Calibri"/>
                <w:b w:val="false"/>
                <w:bCs w:val="false"/>
                <w:i/>
                <w:iCs/>
                <w:color w:val="1A1A2E"/>
                <w:sz w:val="20"/>
                <w:szCs w:val="20"/>
              </w:rPr>
              <w:t xml:space="preserve">Fair question. Three answers: the equipment is FAMSUN, not bespoke; the EU partner is a real, capitalized French operator; and the structural advantages — FTA, transit, currency — don’t depend on us being a brand-name yet.</w:t>
            </w:r>
          </w:p>
        </w:tc>
      </w:tr>
    </w:tbl>
    <w:p>
      <w:pPr>
        <w:spacing w:after="40" w:before="80"/>
      </w:pPr>
      <w:r>
        <w:rPr>
          <w:rFonts w:ascii="Calibri" w:cs="Calibri" w:eastAsia="Calibri" w:hAnsi="Calibri"/>
          <w:b/>
          <w:bCs/>
          <w:i w:val="false"/>
          <w:iCs w:val="false"/>
          <w:color w:val="1A1A2E"/>
          <w:sz w:val="19"/>
          <w:szCs w:val="19"/>
        </w:rPr>
        <w:t xml:space="preserve">Talking points:</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FAMSUN is the equipment vendor for many of the largest pet food plants in the world. The line isn’t experimental.</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Our French JV partner is targeting €300M revenue by 2030, raising through Bpifrance and Crédit Agricole — they’ve underwritten our quality.</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We don’t need you to bet your whole program on us. We need a pilot SKU or a launch program where the structural math is what wins, not our brand.</w:t>
      </w:r>
    </w:p>
    <w:p>
      <w:pPr>
        <w:spacing w:after="40" w:before="80"/>
      </w:pPr>
      <w:r>
        <w:rPr>
          <w:rFonts w:ascii="Calibri" w:cs="Calibri" w:eastAsia="Calibri" w:hAnsi="Calibri"/>
          <w:b/>
          <w:bCs/>
          <w:i w:val="false"/>
          <w:iCs w:val="false"/>
          <w:color w:val="C8102E"/>
          <w:sz w:val="19"/>
          <w:szCs w:val="19"/>
        </w:rPr>
        <w:t xml:space="preserve">⚑ Watch-out: </w:t>
      </w:r>
      <w:r>
        <w:rPr>
          <w:rFonts w:ascii="Calibri" w:cs="Calibri" w:eastAsia="Calibri" w:hAnsi="Calibri"/>
          <w:b w:val="false"/>
          <w:bCs w:val="false"/>
          <w:i/>
          <w:iCs/>
          <w:color w:val="404040"/>
          <w:sz w:val="19"/>
          <w:szCs w:val="19"/>
        </w:rPr>
        <w:t xml:space="preserve">Don’t name-drop competitors negatively. Sell the structural case, not against the incumbent.</w:t>
      </w:r>
    </w:p>
    <w:p>
      <w:pPr>
        <w:spacing w:after="60" w:before="200"/>
      </w:pPr>
      <w:r>
        <w:rPr>
          <w:rFonts w:ascii="Calibri" w:cs="Calibri" w:eastAsia="Calibri" w:hAnsi="Calibri"/>
          <w:b/>
          <w:bCs/>
          <w:i w:val="false"/>
          <w:iCs w:val="false"/>
          <w:color w:val="C8102E"/>
          <w:sz w:val="22"/>
          <w:szCs w:val="22"/>
        </w:rPr>
        <w:t xml:space="preserve">Q9.  </w:t>
      </w:r>
      <w:r>
        <w:rPr>
          <w:rFonts w:ascii="Calibri" w:cs="Calibri" w:eastAsia="Calibri" w:hAnsi="Calibri"/>
          <w:b/>
          <w:bCs/>
          <w:i w:val="false"/>
          <w:iCs w:val="false"/>
          <w:color w:val="1A1A2E"/>
          <w:sz w:val="22"/>
          <w:szCs w:val="22"/>
        </w:rPr>
        <w:t xml:space="preserve">Can I visit the plant?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6E43" w:sz="14" w:space="4"/>
              <w:bottom w:val="none" w:color="FFFFFF" w:sz="0"/>
              <w:right w:val="none" w:color="FFFFFF" w:sz="0"/>
            </w:tcBorders>
            <w:shd w:fill="FAF7F2" w:val="clear"/>
            <w:tcMar>
              <w:top w:type="dxa" w:w="140"/>
              <w:left w:type="dxa" w:w="200"/>
              <w:bottom w:type="dxa" w:w="140"/>
              <w:right w:type="dxa" w:w="200"/>
            </w:tcMar>
          </w:tcPr>
          <w:p>
            <w:pPr>
              <w:spacing w:after="0" w:before="0"/>
            </w:pPr>
            <w:r>
              <w:rPr>
                <w:rFonts w:ascii="Calibri" w:cs="Calibri" w:eastAsia="Calibri" w:hAnsi="Calibri"/>
                <w:b/>
                <w:bCs/>
                <w:i w:val="false"/>
                <w:iCs w:val="false"/>
                <w:color w:val="1F6E43"/>
                <w:sz w:val="20"/>
                <w:szCs w:val="20"/>
              </w:rPr>
              <w:t xml:space="preserve">Headline: </w:t>
            </w:r>
            <w:r>
              <w:rPr>
                <w:rFonts w:ascii="Calibri" w:cs="Calibri" w:eastAsia="Calibri" w:hAnsi="Calibri"/>
                <w:b w:val="false"/>
                <w:bCs w:val="false"/>
                <w:i/>
                <w:iCs/>
                <w:color w:val="1A1A2E"/>
                <w:sz w:val="20"/>
                <w:szCs w:val="20"/>
              </w:rPr>
              <w:t xml:space="preserve">Yes — we’re actively scheduling site visits for qualified partners. The right window is [insert], when commissioning hits the milestone where you’ll see the line operating, not just installed.</w:t>
            </w:r>
          </w:p>
        </w:tc>
      </w:tr>
    </w:tbl>
    <w:p>
      <w:pPr>
        <w:spacing w:after="40" w:before="80"/>
      </w:pPr>
      <w:r>
        <w:rPr>
          <w:rFonts w:ascii="Calibri" w:cs="Calibri" w:eastAsia="Calibri" w:hAnsi="Calibri"/>
          <w:b/>
          <w:bCs/>
          <w:i w:val="false"/>
          <w:iCs w:val="false"/>
          <w:color w:val="1A1A2E"/>
          <w:sz w:val="19"/>
          <w:szCs w:val="19"/>
        </w:rPr>
        <w:t xml:space="preserve">Talking points:</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We host visits in coordinated batches to make sure the buyer sees an operational story, not a construction story.</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Visit + factory tour + meeting with Normandie partner can be combined for serious prospects.</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We’ll handle airport-to-airport logistics in Casablanca for partners under signed NDA.</w:t>
      </w:r>
    </w:p>
    <w:p>
      <w:pPr>
        <w:spacing w:after="40" w:before="80"/>
      </w:pPr>
      <w:r>
        <w:rPr>
          <w:rFonts w:ascii="Calibri" w:cs="Calibri" w:eastAsia="Calibri" w:hAnsi="Calibri"/>
          <w:b/>
          <w:bCs/>
          <w:i w:val="false"/>
          <w:iCs w:val="false"/>
          <w:color w:val="C8102E"/>
          <w:sz w:val="19"/>
          <w:szCs w:val="19"/>
        </w:rPr>
        <w:t xml:space="preserve">⚑ Watch-out: </w:t>
      </w:r>
      <w:r>
        <w:rPr>
          <w:rFonts w:ascii="Calibri" w:cs="Calibri" w:eastAsia="Calibri" w:hAnsi="Calibri"/>
          <w:b w:val="false"/>
          <w:bCs w:val="false"/>
          <w:i/>
          <w:iCs/>
          <w:color w:val="404040"/>
          <w:sz w:val="19"/>
          <w:szCs w:val="19"/>
        </w:rPr>
        <w:t xml:space="preserve">Don’t casually invite a buyer to fly out next week if commissioning isn’t there yet. Sequence visits to operational milestones.</w:t>
      </w:r>
    </w:p>
    <w:p>
      <w:pPr>
        <w:spacing w:after="60" w:before="200"/>
      </w:pPr>
      <w:r>
        <w:rPr>
          <w:rFonts w:ascii="Calibri" w:cs="Calibri" w:eastAsia="Calibri" w:hAnsi="Calibri"/>
          <w:b/>
          <w:bCs/>
          <w:i w:val="false"/>
          <w:iCs w:val="false"/>
          <w:color w:val="C8102E"/>
          <w:sz w:val="22"/>
          <w:szCs w:val="22"/>
        </w:rPr>
        <w:t xml:space="preserve">Q10.  </w:t>
      </w:r>
      <w:r>
        <w:rPr>
          <w:rFonts w:ascii="Calibri" w:cs="Calibri" w:eastAsia="Calibri" w:hAnsi="Calibri"/>
          <w:b/>
          <w:bCs/>
          <w:i w:val="false"/>
          <w:iCs w:val="false"/>
          <w:color w:val="1A1A2E"/>
          <w:sz w:val="22"/>
          <w:szCs w:val="22"/>
        </w:rPr>
        <w:t xml:space="preserve">Sustainability — what’s your story for our retail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6E43" w:sz="14" w:space="4"/>
              <w:bottom w:val="none" w:color="FFFFFF" w:sz="0"/>
              <w:right w:val="none" w:color="FFFFFF" w:sz="0"/>
            </w:tcBorders>
            <w:shd w:fill="FAF7F2" w:val="clear"/>
            <w:tcMar>
              <w:top w:type="dxa" w:w="140"/>
              <w:left w:type="dxa" w:w="200"/>
              <w:bottom w:type="dxa" w:w="140"/>
              <w:right w:type="dxa" w:w="200"/>
            </w:tcMar>
          </w:tcPr>
          <w:p>
            <w:pPr>
              <w:spacing w:after="0" w:before="0"/>
            </w:pPr>
            <w:r>
              <w:rPr>
                <w:rFonts w:ascii="Calibri" w:cs="Calibri" w:eastAsia="Calibri" w:hAnsi="Calibri"/>
                <w:b/>
                <w:bCs/>
                <w:i w:val="false"/>
                <w:iCs w:val="false"/>
                <w:color w:val="1F6E43"/>
                <w:sz w:val="20"/>
                <w:szCs w:val="20"/>
              </w:rPr>
              <w:t xml:space="preserve">Headline: </w:t>
            </w:r>
            <w:r>
              <w:rPr>
                <w:rFonts w:ascii="Calibri" w:cs="Calibri" w:eastAsia="Calibri" w:hAnsi="Calibri"/>
                <w:b w:val="false"/>
                <w:bCs w:val="false"/>
                <w:i/>
                <w:iCs/>
                <w:color w:val="1A1A2E"/>
                <w:sz w:val="20"/>
                <w:szCs w:val="20"/>
              </w:rPr>
              <w:t xml:space="preserve">Our sustainability story has structural credibility: shorter Atlantic transit means lower freight emissions per ton than Asian sourcing, and we’re engineering on-site solar into the dry production zone under Moroccan Law 40-19.</w:t>
            </w:r>
          </w:p>
        </w:tc>
      </w:tr>
    </w:tbl>
    <w:p>
      <w:pPr>
        <w:spacing w:after="40" w:before="80"/>
      </w:pPr>
      <w:r>
        <w:rPr>
          <w:rFonts w:ascii="Calibri" w:cs="Calibri" w:eastAsia="Calibri" w:hAnsi="Calibri"/>
          <w:b/>
          <w:bCs/>
          <w:i w:val="false"/>
          <w:iCs w:val="false"/>
          <w:color w:val="1A1A2E"/>
          <w:sz w:val="19"/>
          <w:szCs w:val="19"/>
        </w:rPr>
        <w:t xml:space="preserve">Talking points:</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Solar integration on the dry zone is in development and qualifies under Moroccan ECOTAQA / TATWIR / TVA-exempt incentives.</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Green export certification for European markets is part of the program — the same documentation supports U.S. retailer ESG asks.</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We can produce a freight emissions comparison vs. Asian sourcing on request.</w:t>
      </w:r>
    </w:p>
    <w:p>
      <w:pPr>
        <w:spacing w:after="40" w:before="80"/>
      </w:pPr>
      <w:r>
        <w:rPr>
          <w:rFonts w:ascii="Calibri" w:cs="Calibri" w:eastAsia="Calibri" w:hAnsi="Calibri"/>
          <w:b/>
          <w:bCs/>
          <w:i w:val="false"/>
          <w:iCs w:val="false"/>
          <w:color w:val="C8102E"/>
          <w:sz w:val="19"/>
          <w:szCs w:val="19"/>
        </w:rPr>
        <w:t xml:space="preserve">⚑ Watch-out: </w:t>
      </w:r>
      <w:r>
        <w:rPr>
          <w:rFonts w:ascii="Calibri" w:cs="Calibri" w:eastAsia="Calibri" w:hAnsi="Calibri"/>
          <w:b w:val="false"/>
          <w:bCs w:val="false"/>
          <w:i/>
          <w:iCs/>
          <w:color w:val="404040"/>
          <w:sz w:val="19"/>
          <w:szCs w:val="19"/>
        </w:rPr>
        <w:t xml:space="preserve">Don’t claim carbon-neutral or green-certified status today. ‘On-trajectory, lower than Asia’ is the honest framing.</w:t>
      </w:r>
    </w:p>
    <w:p>
      <w:pPr>
        <w:pBdr>
          <w:bottom w:val="single" w:color="C8102E" w:sz="6" w:space="2"/>
        </w:pBdr>
        <w:spacing w:after="100" w:before="280"/>
      </w:pPr>
      <w:r>
        <w:rPr>
          <w:rFonts w:ascii="Calibri" w:cs="Calibri" w:eastAsia="Calibri" w:hAnsi="Calibri"/>
          <w:b/>
          <w:bCs/>
          <w:i w:val="false"/>
          <w:iCs w:val="false"/>
          <w:color w:val="C8102E"/>
          <w:sz w:val="24"/>
          <w:szCs w:val="24"/>
        </w:rPr>
        <w:t xml:space="preserve">DON’T-SAY LIST</w:t>
      </w:r>
    </w:p>
    <w:p>
      <w:pPr>
        <w:spacing w:after="80" w:before="80"/>
        <w:jc w:val="left"/>
      </w:pPr>
      <w:r>
        <w:rPr>
          <w:rFonts w:ascii="Calibri" w:cs="Calibri" w:eastAsia="Calibri" w:hAnsi="Calibri"/>
          <w:b w:val="false"/>
          <w:bCs w:val="false"/>
          <w:i/>
          <w:iCs/>
          <w:color w:val="404040"/>
          <w:sz w:val="20"/>
          <w:szCs w:val="20"/>
        </w:rPr>
        <w:t xml:space="preserve">Five sentences that will cost you the deal. Avoid them no matter how the conversation flows.</w:t>
      </w:r>
    </w:p>
    <w:p>
      <w:pPr>
        <w:pStyle w:val="ListParagraph"/>
        <w:numPr>
          <w:ilvl w:val="0"/>
          <w:numId w:val="2"/>
        </w:numPr>
        <w:spacing w:after="30" w:before="30"/>
      </w:pPr>
      <w:r>
        <w:rPr>
          <w:rFonts w:ascii="Calibri" w:cs="Calibri" w:eastAsia="Calibri" w:hAnsi="Calibri"/>
          <w:b/>
          <w:bCs/>
          <w:i w:val="false"/>
          <w:iCs w:val="false"/>
          <w:color w:val="1A1A2E"/>
          <w:sz w:val="20"/>
          <w:szCs w:val="20"/>
        </w:rPr>
        <w:t xml:space="preserve">“Firm price is X per kg.” </w:t>
      </w:r>
      <w:r>
        <w:rPr>
          <w:rFonts w:ascii="Calibri" w:cs="Calibri" w:eastAsia="Calibri" w:hAnsi="Calibri"/>
          <w:b w:val="false"/>
          <w:bCs w:val="false"/>
          <w:i w:val="false"/>
          <w:iCs w:val="false"/>
          <w:color w:val="404040"/>
          <w:sz w:val="20"/>
          <w:szCs w:val="20"/>
        </w:rPr>
        <w:t xml:space="preserve">Quote against a recipe and pack format, never against a question.</w:t>
      </w:r>
    </w:p>
    <w:p>
      <w:pPr>
        <w:pStyle w:val="ListParagraph"/>
        <w:numPr>
          <w:ilvl w:val="0"/>
          <w:numId w:val="2"/>
        </w:numPr>
        <w:spacing w:after="30" w:before="30"/>
      </w:pPr>
      <w:r>
        <w:rPr>
          <w:rFonts w:ascii="Calibri" w:cs="Calibri" w:eastAsia="Calibri" w:hAnsi="Calibri"/>
          <w:b/>
          <w:bCs/>
          <w:i w:val="false"/>
          <w:iCs w:val="false"/>
          <w:color w:val="1A1A2E"/>
          <w:sz w:val="20"/>
          <w:szCs w:val="20"/>
        </w:rPr>
        <w:t xml:space="preserve">“We’re HACCP/ISO/FDA certified.” </w:t>
      </w:r>
      <w:r>
        <w:rPr>
          <w:rFonts w:ascii="Calibri" w:cs="Calibri" w:eastAsia="Calibri" w:hAnsi="Calibri"/>
          <w:b w:val="false"/>
          <w:bCs w:val="false"/>
          <w:i w:val="false"/>
          <w:iCs w:val="false"/>
          <w:color w:val="404040"/>
          <w:sz w:val="20"/>
          <w:szCs w:val="20"/>
        </w:rPr>
        <w:t xml:space="preserve">If you’re not, you’re not. ‘In implementation’ is fine.</w:t>
      </w:r>
    </w:p>
    <w:p>
      <w:pPr>
        <w:pStyle w:val="ListParagraph"/>
        <w:numPr>
          <w:ilvl w:val="0"/>
          <w:numId w:val="2"/>
        </w:numPr>
        <w:spacing w:after="30" w:before="30"/>
      </w:pPr>
      <w:r>
        <w:rPr>
          <w:rFonts w:ascii="Calibri" w:cs="Calibri" w:eastAsia="Calibri" w:hAnsi="Calibri"/>
          <w:b/>
          <w:bCs/>
          <w:i w:val="false"/>
          <w:iCs w:val="false"/>
          <w:color w:val="1A1A2E"/>
          <w:sz w:val="20"/>
          <w:szCs w:val="20"/>
        </w:rPr>
        <w:t xml:space="preserve">“I can ship next month.” </w:t>
      </w:r>
      <w:r>
        <w:rPr>
          <w:rFonts w:ascii="Calibri" w:cs="Calibri" w:eastAsia="Calibri" w:hAnsi="Calibri"/>
          <w:b w:val="false"/>
          <w:bCs w:val="false"/>
          <w:i w:val="false"/>
          <w:iCs w:val="false"/>
          <w:color w:val="404040"/>
          <w:sz w:val="20"/>
          <w:szCs w:val="20"/>
        </w:rPr>
        <w:t xml:space="preserve">Commissioning timing is the truth. Don’t reshape it for the room.</w:t>
      </w:r>
    </w:p>
    <w:p>
      <w:pPr>
        <w:pStyle w:val="ListParagraph"/>
        <w:numPr>
          <w:ilvl w:val="0"/>
          <w:numId w:val="2"/>
        </w:numPr>
        <w:spacing w:after="30" w:before="30"/>
      </w:pPr>
      <w:r>
        <w:rPr>
          <w:rFonts w:ascii="Calibri" w:cs="Calibri" w:eastAsia="Calibri" w:hAnsi="Calibri"/>
          <w:b/>
          <w:bCs/>
          <w:i w:val="false"/>
          <w:iCs w:val="false"/>
          <w:color w:val="1A1A2E"/>
          <w:sz w:val="20"/>
          <w:szCs w:val="20"/>
        </w:rPr>
        <w:t xml:space="preserve">“We’re exclusive with Normandie.” </w:t>
      </w:r>
      <w:r>
        <w:rPr>
          <w:rFonts w:ascii="Calibri" w:cs="Calibri" w:eastAsia="Calibri" w:hAnsi="Calibri"/>
          <w:b w:val="false"/>
          <w:bCs w:val="false"/>
          <w:i w:val="false"/>
          <w:iCs w:val="false"/>
          <w:color w:val="404040"/>
          <w:sz w:val="20"/>
          <w:szCs w:val="20"/>
        </w:rPr>
        <w:t xml:space="preserve">You aren’t. Petland owns the factory. The contractual JV doesn’t lock the asset.</w:t>
      </w:r>
    </w:p>
    <w:p>
      <w:pPr>
        <w:pStyle w:val="ListParagraph"/>
        <w:numPr>
          <w:ilvl w:val="0"/>
          <w:numId w:val="2"/>
        </w:numPr>
        <w:spacing w:after="30" w:before="30"/>
      </w:pPr>
      <w:r>
        <w:rPr>
          <w:rFonts w:ascii="Calibri" w:cs="Calibri" w:eastAsia="Calibri" w:hAnsi="Calibri"/>
          <w:b/>
          <w:bCs/>
          <w:i w:val="false"/>
          <w:iCs w:val="false"/>
          <w:color w:val="1A1A2E"/>
          <w:sz w:val="20"/>
          <w:szCs w:val="20"/>
        </w:rPr>
        <w:t xml:space="preserve">“I’ll get back to you next week.” </w:t>
      </w:r>
      <w:r>
        <w:rPr>
          <w:rFonts w:ascii="Calibri" w:cs="Calibri" w:eastAsia="Calibri" w:hAnsi="Calibri"/>
          <w:b w:val="false"/>
          <w:bCs w:val="false"/>
          <w:i w:val="false"/>
          <w:iCs w:val="false"/>
          <w:color w:val="404040"/>
          <w:sz w:val="20"/>
          <w:szCs w:val="20"/>
        </w:rPr>
        <w:t xml:space="preserve">Say 48 hours. Then do 48 hours. The follow-up speed is part of the pitch.</w:t>
      </w:r>
    </w:p>
    <w:p>
      <w:pPr>
        <w:pBdr>
          <w:bottom w:val="single" w:color="C8102E" w:sz="6" w:space="2"/>
        </w:pBdr>
        <w:spacing w:after="100" w:before="280"/>
      </w:pPr>
      <w:r>
        <w:rPr>
          <w:rFonts w:ascii="Calibri" w:cs="Calibri" w:eastAsia="Calibri" w:hAnsi="Calibri"/>
          <w:b/>
          <w:bCs/>
          <w:i w:val="false"/>
          <w:iCs w:val="false"/>
          <w:color w:val="C8102E"/>
          <w:sz w:val="24"/>
          <w:szCs w:val="24"/>
        </w:rPr>
        <w:t xml:space="preserve">MATERIALS CHECKLIST FOR THE DAY</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Pitch sheet — English version (10 copies).</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Pitch sheet — French version (5 copies for Quebec / francophone buyers).</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2-page extended buyer brief (5 copies, for sit-down meetings only).</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Business cards (50). LinkedIn QR code on the back if possible.</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Phone loaded with: site photos, FAMSUN line render, factory location map, and a 60-second silent video of the construction site.</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One-page ‘About Normandie Pet Food’ reference (public info only — no deal terms).</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A real notebook. Capture every buyer’s name, company, the pain they named, and the next step they agreed to.</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48-hour follow-up email template, drafted before the day so you can send the same evening.</w:t>
      </w:r>
    </w:p>
    <w:p>
      <w:pPr>
        <w:pBdr>
          <w:bottom w:val="single" w:color="C8102E" w:sz="6" w:space="2"/>
        </w:pBdr>
        <w:spacing w:after="100" w:before="280"/>
      </w:pPr>
      <w:r>
        <w:rPr>
          <w:rFonts w:ascii="Calibri" w:cs="Calibri" w:eastAsia="Calibri" w:hAnsi="Calibri"/>
          <w:b/>
          <w:bCs/>
          <w:i w:val="false"/>
          <w:iCs w:val="false"/>
          <w:color w:val="C8102E"/>
          <w:sz w:val="24"/>
          <w:szCs w:val="24"/>
        </w:rPr>
        <w:t xml:space="preserve">AFTER THE MEETING — SAME-DAY DISCIPLINE</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Within 1 hour: log every business card with the buyer’s named pain and the agreed next step in your notebook.</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Within 24 hours: send a personalized follow-up that references the specific thing they said, not a generic deck dump.</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Within 48 hours: send the requested next-step deliverable (sample spec, quote outline, factory visit dates), even if partial.</w:t>
      </w:r>
    </w:p>
    <w:p>
      <w:pPr>
        <w:pStyle w:val="ListParagraph"/>
        <w:numPr>
          <w:ilvl w:val="0"/>
          <w:numId w:val="2"/>
        </w:numPr>
        <w:spacing w:after="30" w:before="30"/>
      </w:pPr>
      <w:r>
        <w:rPr>
          <w:rFonts w:ascii="Calibri" w:cs="Calibri" w:eastAsia="Calibri" w:hAnsi="Calibri"/>
          <w:b w:val="false"/>
          <w:bCs w:val="false"/>
          <w:i w:val="false"/>
          <w:iCs w:val="false"/>
          <w:color w:val="404040"/>
          <w:sz w:val="20"/>
          <w:szCs w:val="20"/>
        </w:rPr>
        <w:t xml:space="preserve">Within 7 days: a written summary back to the two or three buyers you actually want to anchor with — framed as a partnership proposal, not a pitch.</w:t>
      </w:r>
    </w:p>
    <w:p>
      <w:pPr>
        <w:pBdr>
          <w:bottom w:val="single" w:color="C8102E" w:sz="12" w:space="1"/>
        </w:pBdr>
        <w:spacing w:after="120" w:before="320"/>
      </w:pPr>
      <w:r>
        <w:rPr>
          <w:rFonts w:ascii="Calibri" w:cs="Calibri" w:eastAsia="Calibri" w:hAnsi="Calibri"/>
          <w:b w:val="false"/>
          <w:bCs w:val="false"/>
          <w:i w:val="false"/>
          <w:iCs w:val="false"/>
          <w:color w:val="404040"/>
          <w:sz w:val="2"/>
          <w:szCs w:val="2"/>
        </w:rPr>
        <w:t xml:space="preserve"/>
      </w:r>
    </w:p>
    <w:p>
      <w:pPr>
        <w:spacing w:after="80" w:before="0"/>
        <w:jc w:val="center"/>
      </w:pPr>
      <w:r>
        <w:rPr>
          <w:rFonts w:ascii="Calibri" w:cs="Calibri" w:eastAsia="Calibri" w:hAnsi="Calibri"/>
          <w:b/>
          <w:bCs/>
          <w:i/>
          <w:iCs/>
          <w:color w:val="C8102E"/>
          <w:sz w:val="22"/>
          <w:szCs w:val="22"/>
        </w:rPr>
        <w:t xml:space="preserve">The buyers are flying in for one day. Make it the day they remember.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 Factory — May 5 Buyer Meeting Playbook</dc:title>
  <dc:creator>Sam ElAribi</dc:creator>
  <cp:lastModifiedBy>Un-named</cp:lastModifiedBy>
  <cp:revision>1</cp:revision>
  <dcterms:created xsi:type="dcterms:W3CDTF">2026-05-02T17:17:37.456Z</dcterms:created>
  <dcterms:modified xsi:type="dcterms:W3CDTF">2026-05-02T17:17:37.462Z</dcterms:modified>
</cp:coreProperties>
</file>

<file path=docProps/custom.xml><?xml version="1.0" encoding="utf-8"?>
<Properties xmlns="http://schemas.openxmlformats.org/officeDocument/2006/custom-properties" xmlns:vt="http://schemas.openxmlformats.org/officeDocument/2006/docPropsVTypes"/>
</file>