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i w:val="false"/>
          <w:iCs w:val="false"/>
          <w:color w:val="1A1A2E"/>
          <w:sz w:val="36"/>
          <w:szCs w:val="36"/>
        </w:rPr>
        <w:t xml:space="preserve">PET FACTORY — Playbook Acheteurs du 5 mai</w:t>
      </w:r>
    </w:p>
    <w:p>
      <w:pPr>
        <w:spacing w:after="120" w:before="0"/>
      </w:pPr>
      <w:r>
        <w:rPr>
          <w:rFonts w:ascii="Calibri" w:cs="Calibri" w:eastAsia="Calibri" w:hAnsi="Calibri"/>
          <w:b w:val="false"/>
          <w:bCs w:val="false"/>
          <w:i/>
          <w:iCs/>
          <w:color w:val="C8102E"/>
          <w:sz w:val="20"/>
          <w:szCs w:val="20"/>
        </w:rPr>
        <w:t xml:space="preserve">Pitch, questions de découverte et préparation Q&amp;R pour les rendez-vous acheteurs de la Journée 5/5.</w:t>
      </w:r>
    </w:p>
    <w:p>
      <w:pPr>
        <w:pBdr>
          <w:bottom w:val="single" w:color="C8102E" w:sz="12" w:space="1"/>
        </w:pBdr>
        <w:spacing w:after="200" w:before="0"/>
      </w:pPr>
      <w:r>
        <w:rPr>
          <w:rFonts w:ascii="Calibri" w:cs="Calibri" w:eastAsia="Calibri" w:hAnsi="Calibri"/>
          <w:b w:val="false"/>
          <w:bCs w:val="false"/>
          <w:i w:val="false"/>
          <w:iCs w:val="false"/>
          <w:color w:val="404040"/>
          <w:sz w:val="2"/>
          <w:szCs w:val="2"/>
        </w:rPr>
        <w:t xml:space="preserve"/>
      </w:r>
    </w:p>
    <w:p>
      <w:pPr>
        <w:pBdr>
          <w:bottom w:val="single" w:color="C8102E" w:sz="6" w:space="2"/>
        </w:pBdr>
        <w:spacing w:after="100" w:before="280"/>
      </w:pPr>
      <w:r>
        <w:rPr>
          <w:rFonts w:ascii="Calibri" w:cs="Calibri" w:eastAsia="Calibri" w:hAnsi="Calibri"/>
          <w:b/>
          <w:bCs/>
          <w:i w:val="false"/>
          <w:iCs w:val="false"/>
          <w:color w:val="C8102E"/>
          <w:spacing w:val="20"/>
          <w:sz w:val="24"/>
          <w:szCs w:val="24"/>
        </w:rPr>
        <w:t xml:space="preserve">ÉTAT D’ESPRIT EN ENTRANT</w:t>
      </w:r>
    </w:p>
    <w:p>
      <w:pPr>
        <w:pStyle w:val="ListParagraph"/>
        <w:numPr>
          <w:ilvl w:val="0"/>
          <w:numId w:val="2"/>
        </w:numPr>
        <w:spacing w:after="30" w:before="30"/>
      </w:pPr>
      <w:r>
        <w:rPr>
          <w:rFonts w:ascii="Calibri" w:cs="Calibri" w:eastAsia="Calibri" w:hAnsi="Calibri"/>
          <w:b/>
          <w:bCs/>
          <w:i w:val="false"/>
          <w:iCs w:val="false"/>
          <w:color w:val="1A1A2E"/>
          <w:sz w:val="20"/>
          <w:szCs w:val="20"/>
        </w:rPr>
        <w:t xml:space="preserve">Vous ne vendez pas des cartons ; vous qualifiez des partenaires. </w:t>
      </w:r>
      <w:r>
        <w:rPr>
          <w:rFonts w:ascii="Calibri" w:cs="Calibri" w:eastAsia="Calibri" w:hAnsi="Calibri"/>
          <w:b w:val="false"/>
          <w:bCs w:val="false"/>
          <w:i w:val="false"/>
          <w:iCs w:val="false"/>
          <w:color w:val="404040"/>
          <w:sz w:val="20"/>
          <w:szCs w:val="20"/>
        </w:rPr>
        <w:t xml:space="preserve">Deux ou trois bonnes relations acheteurs sorties de cette journée, c’est une victoire. Vingt cartes de visite, non.</w:t>
      </w:r>
    </w:p>
    <w:p>
      <w:pPr>
        <w:pStyle w:val="ListParagraph"/>
        <w:numPr>
          <w:ilvl w:val="0"/>
          <w:numId w:val="2"/>
        </w:numPr>
        <w:spacing w:after="30" w:before="30"/>
      </w:pPr>
      <w:r>
        <w:rPr>
          <w:rFonts w:ascii="Calibri" w:cs="Calibri" w:eastAsia="Calibri" w:hAnsi="Calibri"/>
          <w:b/>
          <w:bCs/>
          <w:i w:val="false"/>
          <w:iCs w:val="false"/>
          <w:color w:val="1A1A2E"/>
          <w:sz w:val="20"/>
          <w:szCs w:val="20"/>
        </w:rPr>
        <w:t xml:space="preserve">Découverte avant monologue. </w:t>
      </w:r>
      <w:r>
        <w:rPr>
          <w:rFonts w:ascii="Calibri" w:cs="Calibri" w:eastAsia="Calibri" w:hAnsi="Calibri"/>
          <w:b w:val="false"/>
          <w:bCs w:val="false"/>
          <w:i w:val="false"/>
          <w:iCs w:val="false"/>
          <w:color w:val="404040"/>
          <w:sz w:val="20"/>
          <w:szCs w:val="20"/>
        </w:rPr>
        <w:t xml:space="preserve">Les acheteurs sont venus sourcer. Faites-les parler de leurs douleurs (délais, droits de douane, exposition à l’Asie, mandats RSE). Le pitch atterrit dans leur problème, pas avant.</w:t>
      </w:r>
    </w:p>
    <w:p>
      <w:pPr>
        <w:pStyle w:val="ListParagraph"/>
        <w:numPr>
          <w:ilvl w:val="0"/>
          <w:numId w:val="2"/>
        </w:numPr>
        <w:spacing w:after="30" w:before="30"/>
      </w:pPr>
      <w:r>
        <w:rPr>
          <w:rFonts w:ascii="Calibri" w:cs="Calibri" w:eastAsia="Calibri" w:hAnsi="Calibri"/>
          <w:b/>
          <w:bCs/>
          <w:i w:val="false"/>
          <w:iCs w:val="false"/>
          <w:color w:val="1A1A2E"/>
          <w:sz w:val="20"/>
          <w:szCs w:val="20"/>
        </w:rPr>
        <w:t xml:space="preserve">Ancrez-vous sur les avantages structurels. </w:t>
      </w:r>
      <w:r>
        <w:rPr>
          <w:rFonts w:ascii="Calibri" w:cs="Calibri" w:eastAsia="Calibri" w:hAnsi="Calibri"/>
          <w:b w:val="false"/>
          <w:bCs w:val="false"/>
          <w:i w:val="false"/>
          <w:iCs w:val="false"/>
          <w:color w:val="404040"/>
          <w:sz w:val="20"/>
          <w:szCs w:val="20"/>
        </w:rPr>
        <w:t xml:space="preserve">ALE, transit atlantique, trajectoire qualité européenne. Ces faits, aucun fournisseur asiatique ou même mexicain ne peut les copier.</w:t>
      </w:r>
    </w:p>
    <w:p>
      <w:pPr>
        <w:pStyle w:val="ListParagraph"/>
        <w:numPr>
          <w:ilvl w:val="0"/>
          <w:numId w:val="2"/>
        </w:numPr>
        <w:spacing w:after="30" w:before="30"/>
      </w:pPr>
      <w:r>
        <w:rPr>
          <w:rFonts w:ascii="Calibri" w:cs="Calibri" w:eastAsia="Calibri" w:hAnsi="Calibri"/>
          <w:b/>
          <w:bCs/>
          <w:i w:val="false"/>
          <w:iCs w:val="false"/>
          <w:color w:val="1A1A2E"/>
          <w:sz w:val="20"/>
          <w:szCs w:val="20"/>
        </w:rPr>
        <w:t xml:space="preserve">Précis quand vous le pouvez ; honnête quand vous ne pouvez pas. </w:t>
      </w:r>
      <w:r>
        <w:rPr>
          <w:rFonts w:ascii="Calibri" w:cs="Calibri" w:eastAsia="Calibri" w:hAnsi="Calibri"/>
          <w:b w:val="false"/>
          <w:bCs w:val="false"/>
          <w:i w:val="false"/>
          <w:iCs w:val="false"/>
          <w:color w:val="404040"/>
          <w:sz w:val="20"/>
          <w:szCs w:val="20"/>
        </w:rPr>
        <w:t xml:space="preserve">Si la mise en service est dans deux mois, dites-le. Les acheteurs respectent les opérateurs qui ne survendent pas.</w:t>
      </w:r>
    </w:p>
    <w:p>
      <w:pPr>
        <w:pStyle w:val="ListParagraph"/>
        <w:numPr>
          <w:ilvl w:val="0"/>
          <w:numId w:val="2"/>
        </w:numPr>
        <w:spacing w:after="30" w:before="30"/>
      </w:pPr>
      <w:r>
        <w:rPr>
          <w:rFonts w:ascii="Calibri" w:cs="Calibri" w:eastAsia="Calibri" w:hAnsi="Calibri"/>
          <w:b/>
          <w:bCs/>
          <w:i w:val="false"/>
          <w:iCs w:val="false"/>
          <w:color w:val="1A1A2E"/>
          <w:sz w:val="20"/>
          <w:szCs w:val="20"/>
        </w:rPr>
        <w:t xml:space="preserve">Capter, ne pas s’engager. </w:t>
      </w:r>
      <w:r>
        <w:rPr>
          <w:rFonts w:ascii="Calibri" w:cs="Calibri" w:eastAsia="Calibri" w:hAnsi="Calibri"/>
          <w:b w:val="false"/>
          <w:bCs w:val="false"/>
          <w:i w:val="false"/>
          <w:iCs w:val="false"/>
          <w:color w:val="404040"/>
          <w:sz w:val="20"/>
          <w:szCs w:val="20"/>
        </w:rPr>
        <w:t xml:space="preserve">Prenez des notes. Ne donnez pas de prix, n’allouez pas de capacité, ne promettez pas de certifications sur place. La relance par email sous 48 heures, c’est ça qui ferme.</w:t>
      </w:r>
    </w:p>
    <w:p>
      <w:pPr>
        <w:pBdr>
          <w:bottom w:val="single" w:color="C8102E" w:sz="6" w:space="2"/>
        </w:pBdr>
        <w:spacing w:after="100" w:before="280"/>
      </w:pPr>
      <w:r>
        <w:rPr>
          <w:rFonts w:ascii="Calibri" w:cs="Calibri" w:eastAsia="Calibri" w:hAnsi="Calibri"/>
          <w:b/>
          <w:bCs/>
          <w:i w:val="false"/>
          <w:iCs w:val="false"/>
          <w:color w:val="C8102E"/>
          <w:spacing w:val="20"/>
          <w:sz w:val="24"/>
          <w:szCs w:val="24"/>
        </w:rPr>
        <w:t xml:space="preserve">LE PITCH — TROIS FORMATS</w:t>
      </w:r>
    </w:p>
    <w:p>
      <w:pPr>
        <w:spacing w:after="80" w:before="80"/>
        <w:jc w:val="left"/>
      </w:pPr>
      <w:r>
        <w:rPr>
          <w:rFonts w:ascii="Calibri" w:cs="Calibri" w:eastAsia="Calibri" w:hAnsi="Calibri"/>
          <w:b w:val="false"/>
          <w:bCs w:val="false"/>
          <w:i/>
          <w:iCs/>
          <w:color w:val="404040"/>
          <w:sz w:val="20"/>
          <w:szCs w:val="20"/>
        </w:rPr>
        <w:t xml:space="preserve">Utilisez la durée que le moment vous donne. Chaque version se tient seule ; si l’intérêt monte, élargissez.</w:t>
      </w:r>
    </w:p>
    <w:p>
      <w:pPr>
        <w:spacing w:after="60" w:before="200"/>
      </w:pPr>
      <w:r>
        <w:rPr>
          <w:rFonts w:ascii="Calibri" w:cs="Calibri" w:eastAsia="Calibri" w:hAnsi="Calibri"/>
          <w:b/>
          <w:bCs/>
          <w:i w:val="false"/>
          <w:iCs w:val="false"/>
          <w:color w:val="1A1A2E"/>
          <w:sz w:val="22"/>
          <w:szCs w:val="22"/>
        </w:rPr>
        <w:t xml:space="preserve">Accroche 30 secondes (cocktail, couloir, file du déjeuner)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102E" w:sz="18" w:space="4"/>
              <w:bottom w:val="none" w:color="FFFFFF" w:sz="0"/>
              <w:right w:val="none" w:color="FFFFFF" w:sz="0"/>
            </w:tcBorders>
            <w:shd w:fill="FCEEEE" w:val="clear"/>
            <w:tcMar>
              <w:top w:type="dxa" w:w="200"/>
              <w:left w:type="dxa" w:w="240"/>
              <w:bottom w:type="dxa" w:w="200"/>
              <w:right w:type="dxa" w:w="200"/>
            </w:tcMar>
          </w:tcPr>
          <w:p>
            <w:pPr>
              <w:spacing w:after="0" w:before="0"/>
            </w:pPr>
            <w:r>
              <w:rPr>
                <w:rFonts w:ascii="Calibri" w:cs="Calibri" w:eastAsia="Calibri" w:hAnsi="Calibri"/>
                <w:b w:val="false"/>
                <w:bCs w:val="false"/>
                <w:i/>
                <w:iCs/>
                <w:color w:val="1A1A2E"/>
                <w:sz w:val="22"/>
                <w:szCs w:val="22"/>
              </w:rPr>
              <w:t xml:space="preserve">Bonjour, Sam ElAribi — je dirige Pet Factory, une nouvelle plateforme pet food sur la côte atlantique du Maroc. Cinq tonnes par heure, FAMSUN clé en main, accès en franchise de droits aux États-Unis via l’ALE Maroc, et un premier partenaire européen déjà sécurisé. Nous sommes là pour identifier deux ou trois partenaires nord-américains qui cherchent une vraie alternative à l’Asie. Le pet food, ça se passe comment chez vous ?</w:t>
            </w:r>
          </w:p>
        </w:tc>
      </w:tr>
    </w:tbl>
    <w:p>
      <w:pPr>
        <w:spacing w:after="60" w:before="200"/>
      </w:pPr>
      <w:r>
        <w:rPr>
          <w:rFonts w:ascii="Calibri" w:cs="Calibri" w:eastAsia="Calibri" w:hAnsi="Calibri"/>
          <w:b/>
          <w:bCs/>
          <w:i w:val="false"/>
          <w:iCs w:val="false"/>
          <w:color w:val="1A1A2E"/>
          <w:sz w:val="22"/>
          <w:szCs w:val="22"/>
        </w:rPr>
        <w:t xml:space="preserve">Pitch debout 90 secondes (stand, présentation rapide)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102E" w:sz="18" w:space="4"/>
              <w:bottom w:val="none" w:color="FFFFFF" w:sz="0"/>
              <w:right w:val="none" w:color="FFFFFF" w:sz="0"/>
            </w:tcBorders>
            <w:shd w:fill="FCEEEE" w:val="clear"/>
            <w:tcMar>
              <w:top w:type="dxa" w:w="200"/>
              <w:left w:type="dxa" w:w="240"/>
              <w:bottom w:type="dxa" w:w="200"/>
              <w:right w:type="dxa" w:w="200"/>
            </w:tcMar>
          </w:tcPr>
          <w:p>
            <w:pPr>
              <w:spacing w:after="0" w:before="0"/>
            </w:pPr>
            <w:r>
              <w:rPr>
                <w:rFonts w:ascii="Calibri" w:cs="Calibri" w:eastAsia="Calibri" w:hAnsi="Calibri"/>
                <w:b w:val="false"/>
                <w:bCs w:val="false"/>
                <w:i/>
                <w:iCs/>
                <w:color w:val="1A1A2E"/>
                <w:sz w:val="22"/>
                <w:szCs w:val="22"/>
              </w:rPr>
              <w:t xml:space="preserve">Nous construisons Pet Factory — une plateforme industrielle de fabrication d’aliments pour animaux de 5 tonnes par heure, sur la côte atlantique du Maroc, livrée clé en main par FAMSUN, le leader mondial de l’extrusion.</w:t>
            </w:r>
          </w:p>
          <w:p>
            <w:pPr>
              <w:spacing w:after="0" w:before="60"/>
            </w:pPr>
            <w:r>
              <w:rPr>
                <w:rFonts w:ascii="Calibri" w:cs="Calibri" w:eastAsia="Calibri" w:hAnsi="Calibri"/>
                <w:b w:val="false"/>
                <w:bCs w:val="false"/>
                <w:i/>
                <w:iCs/>
                <w:color w:val="1A1A2E"/>
                <w:sz w:val="22"/>
                <w:szCs w:val="22"/>
              </w:rPr>
              <w:t xml:space="preserve">Trois choses nous rendent intéressants pour un acheteur nord-américain. Premièrement, l’Accord de libre-échange États-Unis–Maroc — accès en franchise de droits sur la majorité des biens éligibles, en vigueur depuis 2006. Deuxièmement, le transit : 10 à 12 jours de Casablanca à la côte est américaine, contre plus de 30 depuis l’Asie. Troisièmement, la qualité : notre premier partenaire commercial est Normandie Pet Food en France, donc nous construisons aux standards d’export UE dès le départ.</w:t>
            </w:r>
          </w:p>
          <w:p>
            <w:pPr>
              <w:spacing w:after="0" w:before="60"/>
            </w:pPr>
            <w:r>
              <w:rPr>
                <w:rFonts w:ascii="Calibri" w:cs="Calibri" w:eastAsia="Calibri" w:hAnsi="Calibri"/>
                <w:b w:val="false"/>
                <w:bCs w:val="false"/>
                <w:i/>
                <w:iCs/>
                <w:color w:val="1A1A2E"/>
                <w:sz w:val="22"/>
                <w:szCs w:val="22"/>
              </w:rPr>
              <w:t xml:space="preserve">Nous ne courons pas après tous les distributeurs. Nous sélectionnons deux ou trois partenaires leaders en Amérique du Nord qui veulent ancrer leur stratégie de sourcing atlantique avec nous. Dites-moi comment le pet food est structuré chez vous — et où le sourcing asiatique vous fait mal.</w:t>
            </w:r>
          </w:p>
        </w:tc>
      </w:tr>
    </w:tbl>
    <w:p>
      <w:pPr>
        <w:spacing w:after="60" w:before="200"/>
      </w:pPr>
      <w:r>
        <w:rPr>
          <w:rFonts w:ascii="Calibri" w:cs="Calibri" w:eastAsia="Calibri" w:hAnsi="Calibri"/>
          <w:b/>
          <w:bCs/>
          <w:i w:val="false"/>
          <w:iCs w:val="false"/>
          <w:color w:val="1A1A2E"/>
          <w:sz w:val="22"/>
          <w:szCs w:val="22"/>
        </w:rPr>
        <w:t xml:space="preserve">Échange assis 5 minutes (table déjeuner, rendez-vous planifié)</w:t>
      </w:r>
    </w:p>
    <w:p>
      <w:pPr>
        <w:spacing w:after="80" w:before="80"/>
        <w:jc w:val="left"/>
      </w:pPr>
      <w:r>
        <w:rPr>
          <w:rFonts w:ascii="Calibri" w:cs="Calibri" w:eastAsia="Calibri" w:hAnsi="Calibri"/>
          <w:b w:val="false"/>
          <w:bCs w:val="false"/>
          <w:i/>
          <w:iCs/>
          <w:color w:val="404040"/>
          <w:sz w:val="20"/>
          <w:szCs w:val="20"/>
        </w:rPr>
        <w:t xml:space="preserve">Utilisez ce format quand vous avez du temps et que l’acheteur s’est rapproché. Les temps : accueil &amp; contexte (30 s) → la plateforme (60 s) → l’argument économique (60 s) → la trajectoire qualité (45 s) → la demande + découverte (75 s). Ne récitez pas — tenez le rythme et observez leur visage.</w:t>
      </w:r>
    </w:p>
    <w:p>
      <w:pPr>
        <w:spacing w:after="60" w:before="200"/>
      </w:pPr>
      <w:r>
        <w:rPr>
          <w:rFonts w:ascii="Calibri" w:cs="Calibri" w:eastAsia="Calibri" w:hAnsi="Calibri"/>
          <w:b/>
          <w:bCs/>
          <w:i w:val="false"/>
          <w:iCs w:val="false"/>
          <w:color w:val="1A1A2E"/>
          <w:sz w:val="22"/>
          <w:szCs w:val="22"/>
        </w:rPr>
        <w:t xml:space="preserve">Temps 1 — Accueil &amp; contexte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102E" w:sz="18" w:space="4"/>
              <w:bottom w:val="none" w:color="FFFFFF" w:sz="0"/>
              <w:right w:val="none" w:color="FFFFFF" w:sz="0"/>
            </w:tcBorders>
            <w:shd w:fill="FCEEEE" w:val="clear"/>
            <w:tcMar>
              <w:top w:type="dxa" w:w="200"/>
              <w:left w:type="dxa" w:w="240"/>
              <w:bottom w:type="dxa" w:w="200"/>
              <w:right w:type="dxa" w:w="200"/>
            </w:tcMar>
          </w:tcPr>
          <w:p>
            <w:pPr>
              <w:spacing w:after="0" w:before="0"/>
            </w:pPr>
            <w:r>
              <w:rPr>
                <w:rFonts w:ascii="Calibri" w:cs="Calibri" w:eastAsia="Calibri" w:hAnsi="Calibri"/>
                <w:b w:val="false"/>
                <w:bCs w:val="false"/>
                <w:i/>
                <w:iCs/>
                <w:color w:val="1A1A2E"/>
                <w:sz w:val="22"/>
                <w:szCs w:val="22"/>
              </w:rPr>
              <w:t xml:space="preserve">Merci pour le temps que vous m’accordez. Le format de la journée est serré, donc je vais essayer de mériter les dix prochaines minutes en deux. Je vous dis ce que nous construisons, pourquoi nous sommes ici, et ensuite je veux comprendre où sont vos douleurs sourcing — parce que c’est ça qui me dira s’il y a quelque chose à faire ensemble.</w:t>
            </w:r>
          </w:p>
        </w:tc>
      </w:tr>
    </w:tbl>
    <w:p>
      <w:pPr>
        <w:spacing w:after="60" w:before="200"/>
      </w:pPr>
      <w:r>
        <w:rPr>
          <w:rFonts w:ascii="Calibri" w:cs="Calibri" w:eastAsia="Calibri" w:hAnsi="Calibri"/>
          <w:b/>
          <w:bCs/>
          <w:i w:val="false"/>
          <w:iCs w:val="false"/>
          <w:color w:val="1A1A2E"/>
          <w:sz w:val="22"/>
          <w:szCs w:val="22"/>
        </w:rPr>
        <w:t xml:space="preserve">Temps 2 — La plateforme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102E" w:sz="18" w:space="4"/>
              <w:bottom w:val="none" w:color="FFFFFF" w:sz="0"/>
              <w:right w:val="none" w:color="FFFFFF" w:sz="0"/>
            </w:tcBorders>
            <w:shd w:fill="FCEEEE" w:val="clear"/>
            <w:tcMar>
              <w:top w:type="dxa" w:w="200"/>
              <w:left w:type="dxa" w:w="240"/>
              <w:bottom w:type="dxa" w:w="200"/>
              <w:right w:type="dxa" w:w="200"/>
            </w:tcMar>
          </w:tcPr>
          <w:p>
            <w:pPr>
              <w:spacing w:after="0" w:before="0"/>
            </w:pPr>
            <w:r>
              <w:rPr>
                <w:rFonts w:ascii="Calibri" w:cs="Calibri" w:eastAsia="Calibri" w:hAnsi="Calibri"/>
                <w:b w:val="false"/>
                <w:bCs w:val="false"/>
                <w:i/>
                <w:iCs/>
                <w:color w:val="1A1A2E"/>
                <w:sz w:val="22"/>
                <w:szCs w:val="22"/>
              </w:rPr>
              <w:t xml:space="preserve">Pet Factory, c’est une nouvelle usine industrielle d’aliments pour animaux sur la côte atlantique du Maroc. Cinq tonnes par heure de croquettes sèches, FAMSUN clé en main — le même équipement qui tourne dans les plus grandes usines mondiales. Une capacité ligne humide pour pâtée et morceaux en sauce dans la phase suivante. Nous sommes une plateforme industrielle, pas un distributeur : on fabrique le produit, et on est construits autour des programmes private label et co-brandés pour les distributeurs.</w:t>
            </w:r>
          </w:p>
        </w:tc>
      </w:tr>
    </w:tbl>
    <w:p>
      <w:pPr>
        <w:spacing w:after="60" w:before="200"/>
      </w:pPr>
      <w:r>
        <w:rPr>
          <w:rFonts w:ascii="Calibri" w:cs="Calibri" w:eastAsia="Calibri" w:hAnsi="Calibri"/>
          <w:b/>
          <w:bCs/>
          <w:i w:val="false"/>
          <w:iCs w:val="false"/>
          <w:color w:val="1A1A2E"/>
          <w:sz w:val="22"/>
          <w:szCs w:val="22"/>
        </w:rPr>
        <w:t xml:space="preserve">Temps 3 — L’argument économique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102E" w:sz="18" w:space="4"/>
              <w:bottom w:val="none" w:color="FFFFFF" w:sz="0"/>
              <w:right w:val="none" w:color="FFFFFF" w:sz="0"/>
            </w:tcBorders>
            <w:shd w:fill="FCEEEE" w:val="clear"/>
            <w:tcMar>
              <w:top w:type="dxa" w:w="200"/>
              <w:left w:type="dxa" w:w="240"/>
              <w:bottom w:type="dxa" w:w="200"/>
              <w:right w:type="dxa" w:w="200"/>
            </w:tcMar>
          </w:tcPr>
          <w:p>
            <w:pPr>
              <w:spacing w:after="0" w:before="0"/>
            </w:pPr>
            <w:r>
              <w:rPr>
                <w:rFonts w:ascii="Calibri" w:cs="Calibri" w:eastAsia="Calibri" w:hAnsi="Calibri"/>
                <w:b w:val="false"/>
                <w:bCs w:val="false"/>
                <w:i/>
                <w:iCs/>
                <w:color w:val="1A1A2E"/>
                <w:sz w:val="22"/>
                <w:szCs w:val="22"/>
              </w:rPr>
              <w:t xml:space="preserve">Trois raisons structurelles pour un acheteur nord-américain. Un, l’Accord de libre-échange États-Unis–Maroc — franchise de droits sur la majorité des biens éligibles, aucun fournisseur asiatique ne peut s’aligner. Deux, 10 à 12 jours de transit vers la côte est, contre plus de 30 depuis l’Asie, ce qui réduit votre stock de sécurité et reconfigure votre S&amp;OP. Trois, la stabilité monétaire — le dirham est adossé à un panier EUR/USD, prévisible sur des programmes pluriannuels. Le calcul ne tombe pas comme avec l’Asie.</w:t>
            </w:r>
          </w:p>
        </w:tc>
      </w:tr>
    </w:tbl>
    <w:p>
      <w:pPr>
        <w:spacing w:after="60" w:before="200"/>
      </w:pPr>
      <w:r>
        <w:rPr>
          <w:rFonts w:ascii="Calibri" w:cs="Calibri" w:eastAsia="Calibri" w:hAnsi="Calibri"/>
          <w:b/>
          <w:bCs/>
          <w:i w:val="false"/>
          <w:iCs w:val="false"/>
          <w:color w:val="1A1A2E"/>
          <w:sz w:val="22"/>
          <w:szCs w:val="22"/>
        </w:rPr>
        <w:t xml:space="preserve">Temps 4 — La trajectoire qualité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102E" w:sz="18" w:space="4"/>
              <w:bottom w:val="none" w:color="FFFFFF" w:sz="0"/>
              <w:right w:val="none" w:color="FFFFFF" w:sz="0"/>
            </w:tcBorders>
            <w:shd w:fill="FCEEEE" w:val="clear"/>
            <w:tcMar>
              <w:top w:type="dxa" w:w="200"/>
              <w:left w:type="dxa" w:w="240"/>
              <w:bottom w:type="dxa" w:w="200"/>
              <w:right w:type="dxa" w:w="200"/>
            </w:tcMar>
          </w:tcPr>
          <w:p>
            <w:pPr>
              <w:spacing w:after="0" w:before="0"/>
            </w:pPr>
            <w:r>
              <w:rPr>
                <w:rFonts w:ascii="Calibri" w:cs="Calibri" w:eastAsia="Calibri" w:hAnsi="Calibri"/>
                <w:b w:val="false"/>
                <w:bCs w:val="false"/>
                <w:i/>
                <w:iCs/>
                <w:color w:val="1A1A2E"/>
                <w:sz w:val="22"/>
                <w:szCs w:val="22"/>
              </w:rPr>
              <w:t xml:space="preserve">Sur la conformité : nous construisons aux standards d’export UE dès le premier jour, parce que notre premier partenaire commercial est Normandie Pet Food en France — un opérateur français réel, qui vise 300 millions d’euros de chiffre d’affaires en 2030, capitalisé via Bpifrance et le Crédit Agricole. HACCP et ISO 22000 sont en cours de mise en place. Côté États-Unis, on cartographie l’enregistrement FDA et l’étiquetage AAFCO — on veut que le frottement à l’import soit le plus petit problème de l’acheteur, pas le plus grand.</w:t>
            </w:r>
          </w:p>
        </w:tc>
      </w:tr>
    </w:tbl>
    <w:p>
      <w:pPr>
        <w:spacing w:after="60" w:before="200"/>
      </w:pPr>
      <w:r>
        <w:rPr>
          <w:rFonts w:ascii="Calibri" w:cs="Calibri" w:eastAsia="Calibri" w:hAnsi="Calibri"/>
          <w:b/>
          <w:bCs/>
          <w:i w:val="false"/>
          <w:iCs w:val="false"/>
          <w:color w:val="1A1A2E"/>
          <w:sz w:val="22"/>
          <w:szCs w:val="22"/>
        </w:rPr>
        <w:t xml:space="preserve">Temps 5 — La demande + découverte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102E" w:sz="18" w:space="4"/>
              <w:bottom w:val="none" w:color="FFFFFF" w:sz="0"/>
              <w:right w:val="none" w:color="FFFFFF" w:sz="0"/>
            </w:tcBorders>
            <w:shd w:fill="FCEEEE" w:val="clear"/>
            <w:tcMar>
              <w:top w:type="dxa" w:w="200"/>
              <w:left w:type="dxa" w:w="240"/>
              <w:bottom w:type="dxa" w:w="200"/>
              <w:right w:type="dxa" w:w="200"/>
            </w:tcMar>
          </w:tcPr>
          <w:p>
            <w:pPr>
              <w:spacing w:after="0" w:before="0"/>
            </w:pPr>
            <w:r>
              <w:rPr>
                <w:rFonts w:ascii="Calibri" w:cs="Calibri" w:eastAsia="Calibri" w:hAnsi="Calibri"/>
                <w:b w:val="false"/>
                <w:bCs w:val="false"/>
                <w:i/>
                <w:iCs/>
                <w:color w:val="1A1A2E"/>
                <w:sz w:val="22"/>
                <w:szCs w:val="22"/>
              </w:rPr>
              <w:t xml:space="preserve">Deux questions pour vous. Un : où se situe le pet food dans votre portefeuille aujourd’hui — marque propre, marque sous licence, exclusif ? Deux : quelle est la pire partie de votre supply chain actuelle sur cette catégorie — délais, FX, droits de douane, contraintes de capacité, exigence RSE de vos distributeurs ? Quelle que soit votre vraie douleur, c’est là que je peux vous dire en deux minutes si on est compatibles ou pas.</w:t>
            </w:r>
          </w:p>
        </w:tc>
      </w:tr>
    </w:tbl>
    <w:p>
      <w:pPr>
        <w:pBdr>
          <w:bottom w:val="single" w:color="C8102E" w:sz="6" w:space="2"/>
        </w:pBdr>
        <w:spacing w:after="100" w:before="280"/>
      </w:pPr>
      <w:r>
        <w:rPr>
          <w:rFonts w:ascii="Calibri" w:cs="Calibri" w:eastAsia="Calibri" w:hAnsi="Calibri"/>
          <w:b/>
          <w:bCs/>
          <w:i w:val="false"/>
          <w:iCs w:val="false"/>
          <w:color w:val="C8102E"/>
          <w:spacing w:val="20"/>
          <w:sz w:val="24"/>
          <w:szCs w:val="24"/>
        </w:rPr>
        <w:t xml:space="preserve">QUESTIONS DE DÉCOUVERTE — LES FAIRE PARLER</w:t>
      </w:r>
    </w:p>
    <w:p>
      <w:pPr>
        <w:spacing w:after="80" w:before="80"/>
        <w:jc w:val="left"/>
      </w:pPr>
      <w:r>
        <w:rPr>
          <w:rFonts w:ascii="Calibri" w:cs="Calibri" w:eastAsia="Calibri" w:hAnsi="Calibri"/>
          <w:b w:val="false"/>
          <w:bCs w:val="false"/>
          <w:i/>
          <w:iCs/>
          <w:color w:val="404040"/>
          <w:sz w:val="20"/>
          <w:szCs w:val="20"/>
        </w:rPr>
        <w:t xml:space="preserve">Si vous obtenez seulement trois réponses sur cette liste, vous avez fait votre travail.</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Comment le pet food est-il structuré chez vous aujourd’hui — marque propre, distribution exclusive, private label, ou les trois ?</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D’où vient l’essentiel de votre approvisionnement pet food actuel — production locale, Mexique, Asie ?</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Quelle est la plus grande douleur dans cette supply chain en ce moment — délais, droits de douane, coût de fret, qualité, reporting RSE ?</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À quel point le récit ‘sourcing atlantique’ est-il important pour vos clients distributeurs aujourd’hui — nice-to-have ou mandat actif ?</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Si vous deviez ajouter un nouveau partenaire industriel en 2026, quelle est la condition unique qu’il devrait remplir pour que ça vaille votre temps ?</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À quoi ressemblerait un premier programme réussi avec nous, en volume et en nombre de SKU — et sur quelle échéance ?</w:t>
      </w:r>
    </w:p>
    <w:p>
      <w:pPr>
        <w:pBdr>
          <w:bottom w:val="single" w:color="C8102E" w:sz="6" w:space="2"/>
        </w:pBdr>
        <w:spacing w:after="100" w:before="280"/>
      </w:pPr>
      <w:r>
        <w:rPr>
          <w:rFonts w:ascii="Calibri" w:cs="Calibri" w:eastAsia="Calibri" w:hAnsi="Calibri"/>
          <w:b/>
          <w:bCs/>
          <w:i w:val="false"/>
          <w:iCs w:val="false"/>
          <w:color w:val="C8102E"/>
          <w:spacing w:val="20"/>
          <w:sz w:val="24"/>
          <w:szCs w:val="24"/>
        </w:rPr>
        <w:t xml:space="preserve">QUESTIONS ANTICIPÉES DES ACHETEURS &amp; COMMENT Y RÉPONDRE</w:t>
      </w:r>
    </w:p>
    <w:p>
      <w:pPr>
        <w:spacing w:after="80" w:before="80"/>
        <w:jc w:val="left"/>
      </w:pPr>
      <w:r>
        <w:rPr>
          <w:rFonts w:ascii="Calibri" w:cs="Calibri" w:eastAsia="Calibri" w:hAnsi="Calibri"/>
          <w:b w:val="false"/>
          <w:bCs w:val="false"/>
          <w:i/>
          <w:iCs/>
          <w:color w:val="404040"/>
          <w:sz w:val="20"/>
          <w:szCs w:val="20"/>
        </w:rPr>
        <w:t xml:space="preserve">Sortez la phrase clé en premier — c’est la ligne qui doit tomber dans les trois premières secondes. Les points d’appui ne viennent qu’au fur et à mesure que l’acheteur creuse.</w:t>
      </w:r>
    </w:p>
    <w:p>
      <w:pPr>
        <w:spacing w:after="60" w:before="200"/>
      </w:pPr>
      <w:r>
        <w:rPr>
          <w:rFonts w:ascii="Calibri" w:cs="Calibri" w:eastAsia="Calibri" w:hAnsi="Calibri"/>
          <w:b/>
          <w:bCs/>
          <w:i w:val="false"/>
          <w:iCs w:val="false"/>
          <w:color w:val="C8102E"/>
          <w:sz w:val="22"/>
          <w:szCs w:val="22"/>
        </w:rPr>
        <w:t xml:space="preserve">Q1.  </w:t>
      </w:r>
      <w:r>
        <w:rPr>
          <w:rFonts w:ascii="Calibri" w:cs="Calibri" w:eastAsia="Calibri" w:hAnsi="Calibri"/>
          <w:b/>
          <w:bCs/>
          <w:i w:val="false"/>
          <w:iCs w:val="false"/>
          <w:color w:val="1A1A2E"/>
          <w:sz w:val="22"/>
          <w:szCs w:val="22"/>
        </w:rPr>
        <w:t xml:space="preserve">Quand pouvez-vous réellement expédier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6E43" w:sz="14" w:space="4"/>
              <w:bottom w:val="none" w:color="FFFFFF" w:sz="0"/>
              <w:right w:val="none" w:color="FFFFFF" w:sz="0"/>
            </w:tcBorders>
            <w:shd w:fill="FAF7F2" w:val="clear"/>
            <w:tcMar>
              <w:top w:type="dxa" w:w="140"/>
              <w:left w:type="dxa" w:w="200"/>
              <w:bottom w:type="dxa" w:w="140"/>
              <w:right w:type="dxa" w:w="200"/>
            </w:tcMar>
          </w:tcPr>
          <w:p>
            <w:pPr>
              <w:spacing w:after="0" w:before="0"/>
            </w:pPr>
            <w:r>
              <w:rPr>
                <w:rFonts w:ascii="Calibri" w:cs="Calibri" w:eastAsia="Calibri" w:hAnsi="Calibri"/>
                <w:b/>
                <w:bCs/>
                <w:i w:val="false"/>
                <w:iCs w:val="false"/>
                <w:color w:val="1F6E43"/>
                <w:sz w:val="20"/>
                <w:szCs w:val="20"/>
              </w:rPr>
              <w:t xml:space="preserve">Phrase clé : </w:t>
            </w:r>
            <w:r>
              <w:rPr>
                <w:rFonts w:ascii="Calibri" w:cs="Calibri" w:eastAsia="Calibri" w:hAnsi="Calibri"/>
                <w:b w:val="false"/>
                <w:bCs w:val="false"/>
                <w:i/>
                <w:iCs/>
                <w:color w:val="1A1A2E"/>
                <w:sz w:val="20"/>
                <w:szCs w:val="20"/>
              </w:rPr>
              <w:t xml:space="preserve">Nous sommes en phase de construction et de mise en service ; la première production commerciale est ciblée pour [trimestre à insérer], avec les premières expéditions export en [trimestre à insérer].</w:t>
            </w:r>
          </w:p>
        </w:tc>
      </w:tr>
    </w:tbl>
    <w:p>
      <w:pPr>
        <w:spacing w:after="40" w:before="80"/>
      </w:pPr>
      <w:r>
        <w:rPr>
          <w:rFonts w:ascii="Calibri" w:cs="Calibri" w:eastAsia="Calibri" w:hAnsi="Calibri"/>
          <w:b/>
          <w:bCs/>
          <w:i w:val="false"/>
          <w:iCs w:val="false"/>
          <w:color w:val="1A1A2E"/>
          <w:sz w:val="19"/>
          <w:szCs w:val="19"/>
        </w:rPr>
        <w:t xml:space="preserve">Points d’appui :</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L’installation FAMSUN clé en main est en cours ; l’ingénierie de complément CVC est terminée.</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Nous pré-qualifions des partenaires anchor maintenant, précisément pour caler leurs premiers PO sur les premières productions commerciales, pas après.</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Une production d’essai pour validation de recettes est disponible [à insérer] semaines avant la production commerciale complète.</w:t>
      </w:r>
    </w:p>
    <w:p>
      <w:pPr>
        <w:spacing w:after="40" w:before="80"/>
      </w:pPr>
      <w:r>
        <w:rPr>
          <w:rFonts w:ascii="Calibri" w:cs="Calibri" w:eastAsia="Calibri" w:hAnsi="Calibri"/>
          <w:b/>
          <w:bCs/>
          <w:i w:val="false"/>
          <w:iCs w:val="false"/>
          <w:color w:val="C8102E"/>
          <w:sz w:val="19"/>
          <w:szCs w:val="19"/>
        </w:rPr>
        <w:t xml:space="preserve">⚑ Vigilance : </w:t>
      </w:r>
      <w:r>
        <w:rPr>
          <w:rFonts w:ascii="Calibri" w:cs="Calibri" w:eastAsia="Calibri" w:hAnsi="Calibri"/>
          <w:b w:val="false"/>
          <w:bCs w:val="false"/>
          <w:i/>
          <w:iCs/>
          <w:color w:val="404040"/>
          <w:sz w:val="19"/>
          <w:szCs w:val="19"/>
        </w:rPr>
        <w:t xml:space="preserve">Ne vous engagez pas sur une date d’expédition précise dans le rendez-vous. Dites ‘ciblée’ et faites le suivi par écrit après vérification du dernier planning de mise en service.</w:t>
      </w:r>
    </w:p>
    <w:p>
      <w:pPr>
        <w:spacing w:after="60" w:before="200"/>
      </w:pPr>
      <w:r>
        <w:rPr>
          <w:rFonts w:ascii="Calibri" w:cs="Calibri" w:eastAsia="Calibri" w:hAnsi="Calibri"/>
          <w:b/>
          <w:bCs/>
          <w:i w:val="false"/>
          <w:iCs w:val="false"/>
          <w:color w:val="C8102E"/>
          <w:sz w:val="22"/>
          <w:szCs w:val="22"/>
        </w:rPr>
        <w:t xml:space="preserve">Q2.  </w:t>
      </w:r>
      <w:r>
        <w:rPr>
          <w:rFonts w:ascii="Calibri" w:cs="Calibri" w:eastAsia="Calibri" w:hAnsi="Calibri"/>
          <w:b/>
          <w:bCs/>
          <w:i w:val="false"/>
          <w:iCs w:val="false"/>
          <w:color w:val="1A1A2E"/>
          <w:sz w:val="22"/>
          <w:szCs w:val="22"/>
        </w:rPr>
        <w:t xml:space="preserve">Vous êtes déjà engagés avec votre partenaire français — vous avez de la capacité pour moi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6E43" w:sz="14" w:space="4"/>
              <w:bottom w:val="none" w:color="FFFFFF" w:sz="0"/>
              <w:right w:val="none" w:color="FFFFFF" w:sz="0"/>
            </w:tcBorders>
            <w:shd w:fill="FAF7F2" w:val="clear"/>
            <w:tcMar>
              <w:top w:type="dxa" w:w="140"/>
              <w:left w:type="dxa" w:w="200"/>
              <w:bottom w:type="dxa" w:w="140"/>
              <w:right w:type="dxa" w:w="200"/>
            </w:tcMar>
          </w:tcPr>
          <w:p>
            <w:pPr>
              <w:spacing w:after="0" w:before="0"/>
            </w:pPr>
            <w:r>
              <w:rPr>
                <w:rFonts w:ascii="Calibri" w:cs="Calibri" w:eastAsia="Calibri" w:hAnsi="Calibri"/>
                <w:b/>
                <w:bCs/>
                <w:i w:val="false"/>
                <w:iCs w:val="false"/>
                <w:color w:val="1F6E43"/>
                <w:sz w:val="20"/>
                <w:szCs w:val="20"/>
              </w:rPr>
              <w:t xml:space="preserve">Phrase clé : </w:t>
            </w:r>
            <w:r>
              <w:rPr>
                <w:rFonts w:ascii="Calibri" w:cs="Calibri" w:eastAsia="Calibri" w:hAnsi="Calibri"/>
                <w:b w:val="false"/>
                <w:bCs w:val="false"/>
                <w:i/>
                <w:iCs/>
                <w:color w:val="1A1A2E"/>
                <w:sz w:val="20"/>
                <w:szCs w:val="20"/>
              </w:rPr>
              <w:t xml:space="preserve">Petland conserve 100 % de la propriété de l’usine, et notre accord avec Normandie est une JV contractuelle, pas un verrouillage capitalistique. L’allocation de capacité entre marchés est une décision commerciale, pas structurelle.</w:t>
            </w:r>
          </w:p>
        </w:tc>
      </w:tr>
    </w:tbl>
    <w:p>
      <w:pPr>
        <w:spacing w:after="40" w:before="80"/>
      </w:pPr>
      <w:r>
        <w:rPr>
          <w:rFonts w:ascii="Calibri" w:cs="Calibri" w:eastAsia="Calibri" w:hAnsi="Calibri"/>
          <w:b/>
          <w:bCs/>
          <w:i w:val="false"/>
          <w:iCs w:val="false"/>
          <w:color w:val="1A1A2E"/>
          <w:sz w:val="19"/>
          <w:szCs w:val="19"/>
        </w:rPr>
        <w:t xml:space="preserve">Points d’appui :</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L’arrangement avec Normandie couvre le go-to-market européen — il ne leur donne ni la propriété de l’actif, ni d’exclusivité sur notre capacité.</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Nous avons spécifiquement architecturé le deal pour pouvoir construire un programme nord-américain en parallèle. Cet événement en fait partie.</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Nous réservons une part significative de la production de la première année à deux ou trois partenaires anchor nord-américains.</w:t>
      </w:r>
    </w:p>
    <w:p>
      <w:pPr>
        <w:spacing w:after="40" w:before="80"/>
      </w:pPr>
      <w:r>
        <w:rPr>
          <w:rFonts w:ascii="Calibri" w:cs="Calibri" w:eastAsia="Calibri" w:hAnsi="Calibri"/>
          <w:b/>
          <w:bCs/>
          <w:i w:val="false"/>
          <w:iCs w:val="false"/>
          <w:color w:val="C8102E"/>
          <w:sz w:val="19"/>
          <w:szCs w:val="19"/>
        </w:rPr>
        <w:t xml:space="preserve">⚑ Vigilance : </w:t>
      </w:r>
      <w:r>
        <w:rPr>
          <w:rFonts w:ascii="Calibri" w:cs="Calibri" w:eastAsia="Calibri" w:hAnsi="Calibri"/>
          <w:b w:val="false"/>
          <w:bCs w:val="false"/>
          <w:i/>
          <w:iCs/>
          <w:color w:val="404040"/>
          <w:sz w:val="19"/>
          <w:szCs w:val="19"/>
        </w:rPr>
        <w:t xml:space="preserve">Ne partagez pas l’économie spécifique du deal, les répartitions de revenus, ou les pourcentages de capacité avec Normandie. ‘JV contractuelle, l’actif reste chez Petland’ suffit.</w:t>
      </w:r>
    </w:p>
    <w:p>
      <w:pPr>
        <w:spacing w:after="60" w:before="200"/>
      </w:pPr>
      <w:r>
        <w:rPr>
          <w:rFonts w:ascii="Calibri" w:cs="Calibri" w:eastAsia="Calibri" w:hAnsi="Calibri"/>
          <w:b/>
          <w:bCs/>
          <w:i w:val="false"/>
          <w:iCs w:val="false"/>
          <w:color w:val="C8102E"/>
          <w:sz w:val="22"/>
          <w:szCs w:val="22"/>
        </w:rPr>
        <w:t xml:space="preserve">Q3.  </w:t>
      </w:r>
      <w:r>
        <w:rPr>
          <w:rFonts w:ascii="Calibri" w:cs="Calibri" w:eastAsia="Calibri" w:hAnsi="Calibri"/>
          <w:b/>
          <w:bCs/>
          <w:i w:val="false"/>
          <w:iCs w:val="false"/>
          <w:color w:val="1A1A2E"/>
          <w:sz w:val="22"/>
          <w:szCs w:val="22"/>
        </w:rPr>
        <w:t xml:space="preserve">Le prix, ça donne quoi par rapport à mon fournisseur asiatique / mexicain actuel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6E43" w:sz="14" w:space="4"/>
              <w:bottom w:val="none" w:color="FFFFFF" w:sz="0"/>
              <w:right w:val="none" w:color="FFFFFF" w:sz="0"/>
            </w:tcBorders>
            <w:shd w:fill="FAF7F2" w:val="clear"/>
            <w:tcMar>
              <w:top w:type="dxa" w:w="140"/>
              <w:left w:type="dxa" w:w="200"/>
              <w:bottom w:type="dxa" w:w="140"/>
              <w:right w:type="dxa" w:w="200"/>
            </w:tcMar>
          </w:tcPr>
          <w:p>
            <w:pPr>
              <w:spacing w:after="0" w:before="0"/>
            </w:pPr>
            <w:r>
              <w:rPr>
                <w:rFonts w:ascii="Calibri" w:cs="Calibri" w:eastAsia="Calibri" w:hAnsi="Calibri"/>
                <w:b/>
                <w:bCs/>
                <w:i w:val="false"/>
                <w:iCs w:val="false"/>
                <w:color w:val="1F6E43"/>
                <w:sz w:val="20"/>
                <w:szCs w:val="20"/>
              </w:rPr>
              <w:t xml:space="preserve">Phrase clé : </w:t>
            </w:r>
            <w:r>
              <w:rPr>
                <w:rFonts w:ascii="Calibri" w:cs="Calibri" w:eastAsia="Calibri" w:hAnsi="Calibri"/>
                <w:b w:val="false"/>
                <w:bCs w:val="false"/>
                <w:i/>
                <w:iCs/>
                <w:color w:val="1A1A2E"/>
                <w:sz w:val="20"/>
                <w:szCs w:val="20"/>
              </w:rPr>
              <w:t xml:space="preserve">Nous ne donnons pas de prix dans une réunion — nous donnons un prix contre un cahier des charges. Mais l’accès en franchise de droits via l’ALE plus l’avantage transit et coût de stock nous placent généralement dans la fourchette serrée du nearshore mexicain, avec un meilleur positionnement qualité.</w:t>
            </w:r>
          </w:p>
        </w:tc>
      </w:tr>
    </w:tbl>
    <w:p>
      <w:pPr>
        <w:spacing w:after="40" w:before="80"/>
      </w:pPr>
      <w:r>
        <w:rPr>
          <w:rFonts w:ascii="Calibri" w:cs="Calibri" w:eastAsia="Calibri" w:hAnsi="Calibri"/>
          <w:b/>
          <w:bCs/>
          <w:i w:val="false"/>
          <w:iCs w:val="false"/>
          <w:color w:val="1A1A2E"/>
          <w:sz w:val="19"/>
          <w:szCs w:val="19"/>
        </w:rPr>
        <w:t xml:space="preserve">Points d’appui :</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Le prix dépend de la recette (source de protéine, taux d’inclusion, appétence), du format, du MOQ et des Incoterms.</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Envoyez-nous votre cahier des charges ou celui de votre fournisseur actuel et nous revenons avec un devis structuré sous [à insérer] jours ouvrés.</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Le coût total rendu — pas le FOB — est la bonne comparaison. Notre chiffre remonte généralement dans le classement quand on inclut droits, volatilité de fret et stock de sécurité.</w:t>
      </w:r>
    </w:p>
    <w:p>
      <w:pPr>
        <w:spacing w:after="40" w:before="80"/>
      </w:pPr>
      <w:r>
        <w:rPr>
          <w:rFonts w:ascii="Calibri" w:cs="Calibri" w:eastAsia="Calibri" w:hAnsi="Calibri"/>
          <w:b/>
          <w:bCs/>
          <w:i w:val="false"/>
          <w:iCs w:val="false"/>
          <w:color w:val="C8102E"/>
          <w:sz w:val="19"/>
          <w:szCs w:val="19"/>
        </w:rPr>
        <w:t xml:space="preserve">⚑ Vigilance : </w:t>
      </w:r>
      <w:r>
        <w:rPr>
          <w:rFonts w:ascii="Calibri" w:cs="Calibri" w:eastAsia="Calibri" w:hAnsi="Calibri"/>
          <w:b w:val="false"/>
          <w:bCs w:val="false"/>
          <w:i/>
          <w:iCs/>
          <w:color w:val="404040"/>
          <w:sz w:val="19"/>
          <w:szCs w:val="19"/>
        </w:rPr>
        <w:t xml:space="preserve">Ne donnez jamais un prix au kilo sur place. ‘Cahier des charges d’abord, prix ensuite’, c’est la discipline.</w:t>
      </w:r>
    </w:p>
    <w:p>
      <w:pPr>
        <w:spacing w:after="60" w:before="200"/>
      </w:pPr>
      <w:r>
        <w:rPr>
          <w:rFonts w:ascii="Calibri" w:cs="Calibri" w:eastAsia="Calibri" w:hAnsi="Calibri"/>
          <w:b/>
          <w:bCs/>
          <w:i w:val="false"/>
          <w:iCs w:val="false"/>
          <w:color w:val="C8102E"/>
          <w:sz w:val="22"/>
          <w:szCs w:val="22"/>
        </w:rPr>
        <w:t xml:space="preserve">Q4.  </w:t>
      </w:r>
      <w:r>
        <w:rPr>
          <w:rFonts w:ascii="Calibri" w:cs="Calibri" w:eastAsia="Calibri" w:hAnsi="Calibri"/>
          <w:b/>
          <w:bCs/>
          <w:i w:val="false"/>
          <w:iCs w:val="false"/>
          <w:color w:val="1A1A2E"/>
          <w:sz w:val="22"/>
          <w:szCs w:val="22"/>
        </w:rPr>
        <w:t xml:space="preserve">C’est quoi votre MOQ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6E43" w:sz="14" w:space="4"/>
              <w:bottom w:val="none" w:color="FFFFFF" w:sz="0"/>
              <w:right w:val="none" w:color="FFFFFF" w:sz="0"/>
            </w:tcBorders>
            <w:shd w:fill="FAF7F2" w:val="clear"/>
            <w:tcMar>
              <w:top w:type="dxa" w:w="140"/>
              <w:left w:type="dxa" w:w="200"/>
              <w:bottom w:type="dxa" w:w="140"/>
              <w:right w:type="dxa" w:w="200"/>
            </w:tcMar>
          </w:tcPr>
          <w:p>
            <w:pPr>
              <w:spacing w:after="0" w:before="0"/>
            </w:pPr>
            <w:r>
              <w:rPr>
                <w:rFonts w:ascii="Calibri" w:cs="Calibri" w:eastAsia="Calibri" w:hAnsi="Calibri"/>
                <w:b/>
                <w:bCs/>
                <w:i w:val="false"/>
                <w:iCs w:val="false"/>
                <w:color w:val="1F6E43"/>
                <w:sz w:val="20"/>
                <w:szCs w:val="20"/>
              </w:rPr>
              <w:t xml:space="preserve">Phrase clé : </w:t>
            </w:r>
            <w:r>
              <w:rPr>
                <w:rFonts w:ascii="Calibri" w:cs="Calibri" w:eastAsia="Calibri" w:hAnsi="Calibri"/>
                <w:b w:val="false"/>
                <w:bCs w:val="false"/>
                <w:i/>
                <w:iCs/>
                <w:color w:val="1A1A2E"/>
                <w:sz w:val="20"/>
                <w:szCs w:val="20"/>
              </w:rPr>
              <w:t xml:space="preserve">Nous sommes pensés autour de l’économie du conteneur complet, donc les MOQ commerciaux se font sur un conteneur 20 ou 40 pieds par SKU. Les essais et la validation de recettes sont disponibles en dessous pour les partenaires qualifiés.</w:t>
            </w:r>
          </w:p>
        </w:tc>
      </w:tr>
    </w:tbl>
    <w:p>
      <w:pPr>
        <w:spacing w:after="40" w:before="80"/>
      </w:pPr>
      <w:r>
        <w:rPr>
          <w:rFonts w:ascii="Calibri" w:cs="Calibri" w:eastAsia="Calibri" w:hAnsi="Calibri"/>
          <w:b/>
          <w:bCs/>
          <w:i w:val="false"/>
          <w:iCs w:val="false"/>
          <w:color w:val="1A1A2E"/>
          <w:sz w:val="19"/>
          <w:szCs w:val="19"/>
        </w:rPr>
        <w:t xml:space="preserve">Points d’appui :</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La commande au conteneur complet, c’est ce qui rend l’équation ALE + transit atlantique gagnante des deux côtés.</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On peut répartir un conteneur sur plusieurs SKU compatibles pour les programmes de lancement.</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Les essais pré-lancement pour validation de recettes sont une discussion à part et n’exigent pas de MOQ commercial.</w:t>
      </w:r>
    </w:p>
    <w:p>
      <w:pPr>
        <w:spacing w:after="40" w:before="80"/>
      </w:pPr>
      <w:r>
        <w:rPr>
          <w:rFonts w:ascii="Calibri" w:cs="Calibri" w:eastAsia="Calibri" w:hAnsi="Calibri"/>
          <w:b/>
          <w:bCs/>
          <w:i w:val="false"/>
          <w:iCs w:val="false"/>
          <w:color w:val="C8102E"/>
          <w:sz w:val="19"/>
          <w:szCs w:val="19"/>
        </w:rPr>
        <w:t xml:space="preserve">⚑ Vigilance : </w:t>
      </w:r>
      <w:r>
        <w:rPr>
          <w:rFonts w:ascii="Calibri" w:cs="Calibri" w:eastAsia="Calibri" w:hAnsi="Calibri"/>
          <w:b w:val="false"/>
          <w:bCs w:val="false"/>
          <w:i/>
          <w:iCs/>
          <w:color w:val="404040"/>
          <w:sz w:val="19"/>
          <w:szCs w:val="19"/>
        </w:rPr>
        <w:t xml:space="preserve">Ne vous engagez pas sur des chiffres précis en kg ou en palettes. Cadrez en conteneurs.</w:t>
      </w:r>
    </w:p>
    <w:p>
      <w:pPr>
        <w:spacing w:after="60" w:before="200"/>
      </w:pPr>
      <w:r>
        <w:rPr>
          <w:rFonts w:ascii="Calibri" w:cs="Calibri" w:eastAsia="Calibri" w:hAnsi="Calibri"/>
          <w:b/>
          <w:bCs/>
          <w:i w:val="false"/>
          <w:iCs w:val="false"/>
          <w:color w:val="C8102E"/>
          <w:sz w:val="22"/>
          <w:szCs w:val="22"/>
        </w:rPr>
        <w:t xml:space="preserve">Q5.  </w:t>
      </w:r>
      <w:r>
        <w:rPr>
          <w:rFonts w:ascii="Calibri" w:cs="Calibri" w:eastAsia="Calibri" w:hAnsi="Calibri"/>
          <w:b/>
          <w:bCs/>
          <w:i w:val="false"/>
          <w:iCs w:val="false"/>
          <w:color w:val="1A1A2E"/>
          <w:sz w:val="22"/>
          <w:szCs w:val="22"/>
        </w:rPr>
        <w:t xml:space="preserve">Quelles certifications avez-vous aujourd’hui — pas dans le roadmap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6E43" w:sz="14" w:space="4"/>
              <w:bottom w:val="none" w:color="FFFFFF" w:sz="0"/>
              <w:right w:val="none" w:color="FFFFFF" w:sz="0"/>
            </w:tcBorders>
            <w:shd w:fill="FAF7F2" w:val="clear"/>
            <w:tcMar>
              <w:top w:type="dxa" w:w="140"/>
              <w:left w:type="dxa" w:w="200"/>
              <w:bottom w:type="dxa" w:w="140"/>
              <w:right w:type="dxa" w:w="200"/>
            </w:tcMar>
          </w:tcPr>
          <w:p>
            <w:pPr>
              <w:spacing w:after="0" w:before="0"/>
            </w:pPr>
            <w:r>
              <w:rPr>
                <w:rFonts w:ascii="Calibri" w:cs="Calibri" w:eastAsia="Calibri" w:hAnsi="Calibri"/>
                <w:b/>
                <w:bCs/>
                <w:i w:val="false"/>
                <w:iCs w:val="false"/>
                <w:color w:val="1F6E43"/>
                <w:sz w:val="20"/>
                <w:szCs w:val="20"/>
              </w:rPr>
              <w:t xml:space="preserve">Phrase clé : </w:t>
            </w:r>
            <w:r>
              <w:rPr>
                <w:rFonts w:ascii="Calibri" w:cs="Calibri" w:eastAsia="Calibri" w:hAnsi="Calibri"/>
                <w:b w:val="false"/>
                <w:bCs w:val="false"/>
                <w:i/>
                <w:iCs/>
                <w:color w:val="1A1A2E"/>
                <w:sz w:val="20"/>
                <w:szCs w:val="20"/>
              </w:rPr>
              <w:t xml:space="preserve">Nous mettons en service l’usine en ce moment, donc la réponse honnête aujourd’hui : les systèmes fondamentaux sont intégrés à la ligne dès le départ, et les certifications formelles sont séquencées sur [à insérer] au fil de la mise en service et des premières productions.</w:t>
            </w:r>
          </w:p>
        </w:tc>
      </w:tr>
    </w:tbl>
    <w:p>
      <w:pPr>
        <w:spacing w:after="40" w:before="80"/>
      </w:pPr>
      <w:r>
        <w:rPr>
          <w:rFonts w:ascii="Calibri" w:cs="Calibri" w:eastAsia="Calibri" w:hAnsi="Calibri"/>
          <w:b/>
          <w:bCs/>
          <w:i w:val="false"/>
          <w:iCs w:val="false"/>
          <w:color w:val="1A1A2E"/>
          <w:sz w:val="19"/>
          <w:szCs w:val="19"/>
        </w:rPr>
        <w:t xml:space="preserve">Points d’appui :</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La ligne FAMSUN est conçue avec une traçabilité de niveau HACCP et ISO 22000 intégrée — la certification est procédurale, pas structurelle.</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L’enregistrement FDA et l’étiquetage AAFCO font partie de la préparation à l’import américain.</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Notre partenaire JV français vise l’export UE, ce qui nous oblige à un niveau de conformité plus élevé que les minimums américains.</w:t>
      </w:r>
    </w:p>
    <w:p>
      <w:pPr>
        <w:spacing w:after="40" w:before="80"/>
      </w:pPr>
      <w:r>
        <w:rPr>
          <w:rFonts w:ascii="Calibri" w:cs="Calibri" w:eastAsia="Calibri" w:hAnsi="Calibri"/>
          <w:b/>
          <w:bCs/>
          <w:i w:val="false"/>
          <w:iCs w:val="false"/>
          <w:color w:val="C8102E"/>
          <w:sz w:val="19"/>
          <w:szCs w:val="19"/>
        </w:rPr>
        <w:t xml:space="preserve">⚑ Vigilance : </w:t>
      </w:r>
      <w:r>
        <w:rPr>
          <w:rFonts w:ascii="Calibri" w:cs="Calibri" w:eastAsia="Calibri" w:hAnsi="Calibri"/>
          <w:b w:val="false"/>
          <w:bCs w:val="false"/>
          <w:i/>
          <w:iCs/>
          <w:color w:val="404040"/>
          <w:sz w:val="19"/>
          <w:szCs w:val="19"/>
        </w:rPr>
        <w:t xml:space="preserve">Ne revendiquez pas de certifications que vous n’avez pas. ‘En cours de mise en place’ est correct. ‘On est certifiés HACCP’ quand vous ne l’êtes pas, ça finit la relation plus vite que rien d’autre.</w:t>
      </w:r>
    </w:p>
    <w:p>
      <w:pPr>
        <w:spacing w:after="60" w:before="200"/>
      </w:pPr>
      <w:r>
        <w:rPr>
          <w:rFonts w:ascii="Calibri" w:cs="Calibri" w:eastAsia="Calibri" w:hAnsi="Calibri"/>
          <w:b/>
          <w:bCs/>
          <w:i w:val="false"/>
          <w:iCs w:val="false"/>
          <w:color w:val="C8102E"/>
          <w:sz w:val="22"/>
          <w:szCs w:val="22"/>
        </w:rPr>
        <w:t xml:space="preserve">Q6.  </w:t>
      </w:r>
      <w:r>
        <w:rPr>
          <w:rFonts w:ascii="Calibri" w:cs="Calibri" w:eastAsia="Calibri" w:hAnsi="Calibri"/>
          <w:b/>
          <w:bCs/>
          <w:i w:val="false"/>
          <w:iCs w:val="false"/>
          <w:color w:val="1A1A2E"/>
          <w:sz w:val="22"/>
          <w:szCs w:val="22"/>
        </w:rPr>
        <w:t xml:space="preserve">Vous sourcez vos matières premières où ? Le Maroc, ce n’est pas vraiment un pays de viande bovine.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6E43" w:sz="14" w:space="4"/>
              <w:bottom w:val="none" w:color="FFFFFF" w:sz="0"/>
              <w:right w:val="none" w:color="FFFFFF" w:sz="0"/>
            </w:tcBorders>
            <w:shd w:fill="FAF7F2" w:val="clear"/>
            <w:tcMar>
              <w:top w:type="dxa" w:w="140"/>
              <w:left w:type="dxa" w:w="200"/>
              <w:bottom w:type="dxa" w:w="140"/>
              <w:right w:type="dxa" w:w="200"/>
            </w:tcMar>
          </w:tcPr>
          <w:p>
            <w:pPr>
              <w:spacing w:after="0" w:before="0"/>
            </w:pPr>
            <w:r>
              <w:rPr>
                <w:rFonts w:ascii="Calibri" w:cs="Calibri" w:eastAsia="Calibri" w:hAnsi="Calibri"/>
                <w:b/>
                <w:bCs/>
                <w:i w:val="false"/>
                <w:iCs w:val="false"/>
                <w:color w:val="1F6E43"/>
                <w:sz w:val="20"/>
                <w:szCs w:val="20"/>
              </w:rPr>
              <w:t xml:space="preserve">Phrase clé : </w:t>
            </w:r>
            <w:r>
              <w:rPr>
                <w:rFonts w:ascii="Calibri" w:cs="Calibri" w:eastAsia="Calibri" w:hAnsi="Calibri"/>
                <w:b w:val="false"/>
                <w:bCs w:val="false"/>
                <w:i/>
                <w:iCs/>
                <w:color w:val="1A1A2E"/>
                <w:sz w:val="20"/>
                <w:szCs w:val="20"/>
              </w:rPr>
              <w:t xml:space="preserve">Le sourcing des ingrédients est mixte : protéines transformées et céréales viennent de fournisseurs qualifiés dans le corridor méditerranéen et UE, avec une chaîne de traçabilité claire. On ne prétend pas que le Maroc cultive tout — on utilise le Maroc comme plateforme industrielle et plateforme ALE.</w:t>
            </w:r>
          </w:p>
        </w:tc>
      </w:tr>
    </w:tbl>
    <w:p>
      <w:pPr>
        <w:spacing w:after="40" w:before="80"/>
      </w:pPr>
      <w:r>
        <w:rPr>
          <w:rFonts w:ascii="Calibri" w:cs="Calibri" w:eastAsia="Calibri" w:hAnsi="Calibri"/>
          <w:b/>
          <w:bCs/>
          <w:i w:val="false"/>
          <w:iCs w:val="false"/>
          <w:color w:val="1A1A2E"/>
          <w:sz w:val="19"/>
          <w:szCs w:val="19"/>
        </w:rPr>
        <w:t xml:space="preserve">Points d’appui :</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Le Maroc est le lieu de fabrication et la plateforme ALE / logistique — pas nécessairement la ferme à protéines.</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Nous avons accès aux fournisseurs UE et méditerranéens pour protéines, matières grasses, céréales, vitamines et appétences — le même bassin qui alimente la plupart des pet food premium européens.</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La qualification fournisseurs, les COA et la traçabilité font partie de la documentation de la ligne FAMSUN.</w:t>
      </w:r>
    </w:p>
    <w:p>
      <w:pPr>
        <w:spacing w:after="40" w:before="80"/>
      </w:pPr>
      <w:r>
        <w:rPr>
          <w:rFonts w:ascii="Calibri" w:cs="Calibri" w:eastAsia="Calibri" w:hAnsi="Calibri"/>
          <w:b/>
          <w:bCs/>
          <w:i w:val="false"/>
          <w:iCs w:val="false"/>
          <w:color w:val="C8102E"/>
          <w:sz w:val="19"/>
          <w:szCs w:val="19"/>
        </w:rPr>
        <w:t xml:space="preserve">⚑ Vigilance : </w:t>
      </w:r>
      <w:r>
        <w:rPr>
          <w:rFonts w:ascii="Calibri" w:cs="Calibri" w:eastAsia="Calibri" w:hAnsi="Calibri"/>
          <w:b w:val="false"/>
          <w:bCs w:val="false"/>
          <w:i/>
          <w:iCs/>
          <w:color w:val="404040"/>
          <w:sz w:val="19"/>
          <w:szCs w:val="19"/>
        </w:rPr>
        <w:t xml:space="preserve">Ne survendez pas le ‘sourcing local marocain’ comme storytelling tant que le pourcentage n’est pas confirmé. Les acheteurs vérifieront.</w:t>
      </w:r>
    </w:p>
    <w:p>
      <w:pPr>
        <w:spacing w:after="60" w:before="200"/>
      </w:pPr>
      <w:r>
        <w:rPr>
          <w:rFonts w:ascii="Calibri" w:cs="Calibri" w:eastAsia="Calibri" w:hAnsi="Calibri"/>
          <w:b/>
          <w:bCs/>
          <w:i w:val="false"/>
          <w:iCs w:val="false"/>
          <w:color w:val="C8102E"/>
          <w:sz w:val="22"/>
          <w:szCs w:val="22"/>
        </w:rPr>
        <w:t xml:space="preserve">Q7.  </w:t>
      </w:r>
      <w:r>
        <w:rPr>
          <w:rFonts w:ascii="Calibri" w:cs="Calibri" w:eastAsia="Calibri" w:hAnsi="Calibri"/>
          <w:b/>
          <w:bCs/>
          <w:i w:val="false"/>
          <w:iCs w:val="false"/>
          <w:color w:val="1A1A2E"/>
          <w:sz w:val="22"/>
          <w:szCs w:val="22"/>
        </w:rPr>
        <w:t xml:space="preserve">Vous gérez l’enregistrement FDA / les étiquettes AAFCO / la conformité import US, ou c’est sur moi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6E43" w:sz="14" w:space="4"/>
              <w:bottom w:val="none" w:color="FFFFFF" w:sz="0"/>
              <w:right w:val="none" w:color="FFFFFF" w:sz="0"/>
            </w:tcBorders>
            <w:shd w:fill="FAF7F2" w:val="clear"/>
            <w:tcMar>
              <w:top w:type="dxa" w:w="140"/>
              <w:left w:type="dxa" w:w="200"/>
              <w:bottom w:type="dxa" w:w="140"/>
              <w:right w:type="dxa" w:w="200"/>
            </w:tcMar>
          </w:tcPr>
          <w:p>
            <w:pPr>
              <w:spacing w:after="0" w:before="0"/>
            </w:pPr>
            <w:r>
              <w:rPr>
                <w:rFonts w:ascii="Calibri" w:cs="Calibri" w:eastAsia="Calibri" w:hAnsi="Calibri"/>
                <w:b/>
                <w:bCs/>
                <w:i w:val="false"/>
                <w:iCs w:val="false"/>
                <w:color w:val="1F6E43"/>
                <w:sz w:val="20"/>
                <w:szCs w:val="20"/>
              </w:rPr>
              <w:t xml:space="preserve">Phrase clé : </w:t>
            </w:r>
            <w:r>
              <w:rPr>
                <w:rFonts w:ascii="Calibri" w:cs="Calibri" w:eastAsia="Calibri" w:hAnsi="Calibri"/>
                <w:b w:val="false"/>
                <w:bCs w:val="false"/>
                <w:i/>
                <w:iCs/>
                <w:color w:val="1A1A2E"/>
                <w:sz w:val="20"/>
                <w:szCs w:val="20"/>
              </w:rPr>
              <w:t xml:space="preserve">Nous intégrons la conformité import américaine dans notre plateforme volontairement, pour qu’elle soit la plus petite partie de votre problème, pas la plus grande. La répartition finale des responsabilités est dans le contrat, mais le gros du travail est chez nous.</w:t>
            </w:r>
          </w:p>
        </w:tc>
      </w:tr>
    </w:tbl>
    <w:p>
      <w:pPr>
        <w:spacing w:after="40" w:before="80"/>
      </w:pPr>
      <w:r>
        <w:rPr>
          <w:rFonts w:ascii="Calibri" w:cs="Calibri" w:eastAsia="Calibri" w:hAnsi="Calibri"/>
          <w:b/>
          <w:bCs/>
          <w:i w:val="false"/>
          <w:iCs w:val="false"/>
          <w:color w:val="1A1A2E"/>
          <w:sz w:val="19"/>
          <w:szCs w:val="19"/>
        </w:rPr>
        <w:t xml:space="preserve">Points d’appui :</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L’enregistrement FDA en tant que fabricant de référence est de notre côté.</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La préparation des étiquettes AAFCO est un exercice partagé : on rédige selon vos standards de marque, vous validez.</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L’entrée en douane, le choix du courtier et le routage DDP sont négociables selon l’Incoterm.</w:t>
      </w:r>
    </w:p>
    <w:p>
      <w:pPr>
        <w:spacing w:after="40" w:before="80"/>
      </w:pPr>
      <w:r>
        <w:rPr>
          <w:rFonts w:ascii="Calibri" w:cs="Calibri" w:eastAsia="Calibri" w:hAnsi="Calibri"/>
          <w:b/>
          <w:bCs/>
          <w:i w:val="false"/>
          <w:iCs w:val="false"/>
          <w:color w:val="C8102E"/>
          <w:sz w:val="19"/>
          <w:szCs w:val="19"/>
        </w:rPr>
        <w:t xml:space="preserve">⚑ Vigilance : </w:t>
      </w:r>
      <w:r>
        <w:rPr>
          <w:rFonts w:ascii="Calibri" w:cs="Calibri" w:eastAsia="Calibri" w:hAnsi="Calibri"/>
          <w:b w:val="false"/>
          <w:bCs w:val="false"/>
          <w:i/>
          <w:iCs/>
          <w:color w:val="404040"/>
          <w:sz w:val="19"/>
          <w:szCs w:val="19"/>
        </w:rPr>
        <w:t xml:space="preserve">Ne promettez pas de prendre 100 % de la conformité import. La conformité finale côté marque reste toujours chez l’importateur de référence.</w:t>
      </w:r>
    </w:p>
    <w:p>
      <w:pPr>
        <w:spacing w:after="60" w:before="200"/>
      </w:pPr>
      <w:r>
        <w:rPr>
          <w:rFonts w:ascii="Calibri" w:cs="Calibri" w:eastAsia="Calibri" w:hAnsi="Calibri"/>
          <w:b/>
          <w:bCs/>
          <w:i w:val="false"/>
          <w:iCs w:val="false"/>
          <w:color w:val="C8102E"/>
          <w:sz w:val="22"/>
          <w:szCs w:val="22"/>
        </w:rPr>
        <w:t xml:space="preserve">Q8.  </w:t>
      </w:r>
      <w:r>
        <w:rPr>
          <w:rFonts w:ascii="Calibri" w:cs="Calibri" w:eastAsia="Calibri" w:hAnsi="Calibri"/>
          <w:b/>
          <w:bCs/>
          <w:i w:val="false"/>
          <w:iCs w:val="false"/>
          <w:color w:val="1A1A2E"/>
          <w:sz w:val="22"/>
          <w:szCs w:val="22"/>
        </w:rPr>
        <w:t xml:space="preserve">Pourquoi je ferais confiance à un fabricant tout neuf ? Pourquoi ne pas rester avec mon fournisseur actuel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6E43" w:sz="14" w:space="4"/>
              <w:bottom w:val="none" w:color="FFFFFF" w:sz="0"/>
              <w:right w:val="none" w:color="FFFFFF" w:sz="0"/>
            </w:tcBorders>
            <w:shd w:fill="FAF7F2" w:val="clear"/>
            <w:tcMar>
              <w:top w:type="dxa" w:w="140"/>
              <w:left w:type="dxa" w:w="200"/>
              <w:bottom w:type="dxa" w:w="140"/>
              <w:right w:type="dxa" w:w="200"/>
            </w:tcMar>
          </w:tcPr>
          <w:p>
            <w:pPr>
              <w:spacing w:after="0" w:before="0"/>
            </w:pPr>
            <w:r>
              <w:rPr>
                <w:rFonts w:ascii="Calibri" w:cs="Calibri" w:eastAsia="Calibri" w:hAnsi="Calibri"/>
                <w:b/>
                <w:bCs/>
                <w:i w:val="false"/>
                <w:iCs w:val="false"/>
                <w:color w:val="1F6E43"/>
                <w:sz w:val="20"/>
                <w:szCs w:val="20"/>
              </w:rPr>
              <w:t xml:space="preserve">Phrase clé : </w:t>
            </w:r>
            <w:r>
              <w:rPr>
                <w:rFonts w:ascii="Calibri" w:cs="Calibri" w:eastAsia="Calibri" w:hAnsi="Calibri"/>
                <w:b w:val="false"/>
                <w:bCs w:val="false"/>
                <w:i/>
                <w:iCs/>
                <w:color w:val="1A1A2E"/>
                <w:sz w:val="20"/>
                <w:szCs w:val="20"/>
              </w:rPr>
              <w:t xml:space="preserve">Question légitime. Trois réponses : l’équipement est FAMSUN, pas du sur-mesure ; le partenaire UE est un opérateur français réel et capitalisé ; et les avantages structurels — ALE, transit, monnaie — ne dépendent pas du fait que nous soyons une marque déjà établie.</w:t>
            </w:r>
          </w:p>
        </w:tc>
      </w:tr>
    </w:tbl>
    <w:p>
      <w:pPr>
        <w:spacing w:after="40" w:before="80"/>
      </w:pPr>
      <w:r>
        <w:rPr>
          <w:rFonts w:ascii="Calibri" w:cs="Calibri" w:eastAsia="Calibri" w:hAnsi="Calibri"/>
          <w:b/>
          <w:bCs/>
          <w:i w:val="false"/>
          <w:iCs w:val="false"/>
          <w:color w:val="1A1A2E"/>
          <w:sz w:val="19"/>
          <w:szCs w:val="19"/>
        </w:rPr>
        <w:t xml:space="preserve">Points d’appui :</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FAMSUN est le fournisseur d’équipement de plusieurs des plus grandes usines pet food mondiales. La ligne n’est pas expérimentale.</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Notre partenaire JV français vise 300 M€ de chiffre d’affaires en 2030, capitalisé via Bpifrance et le Crédit Agricole — ils ont validé notre qualité.</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Nous n’avons pas besoin que vous misiez tout votre programme sur nous. Un SKU pilote ou un programme de lancement où le calcul structurel l’emporte, ça suffit.</w:t>
      </w:r>
    </w:p>
    <w:p>
      <w:pPr>
        <w:spacing w:after="40" w:before="80"/>
      </w:pPr>
      <w:r>
        <w:rPr>
          <w:rFonts w:ascii="Calibri" w:cs="Calibri" w:eastAsia="Calibri" w:hAnsi="Calibri"/>
          <w:b/>
          <w:bCs/>
          <w:i w:val="false"/>
          <w:iCs w:val="false"/>
          <w:color w:val="C8102E"/>
          <w:sz w:val="19"/>
          <w:szCs w:val="19"/>
        </w:rPr>
        <w:t xml:space="preserve">⚑ Vigilance : </w:t>
      </w:r>
      <w:r>
        <w:rPr>
          <w:rFonts w:ascii="Calibri" w:cs="Calibri" w:eastAsia="Calibri" w:hAnsi="Calibri"/>
          <w:b w:val="false"/>
          <w:bCs w:val="false"/>
          <w:i/>
          <w:iCs/>
          <w:color w:val="404040"/>
          <w:sz w:val="19"/>
          <w:szCs w:val="19"/>
        </w:rPr>
        <w:t xml:space="preserve">Ne dénigrez pas les concurrents. Vendez l’argument structurel, pas contre l’opérateur en place.</w:t>
      </w:r>
    </w:p>
    <w:p>
      <w:pPr>
        <w:spacing w:after="60" w:before="200"/>
      </w:pPr>
      <w:r>
        <w:rPr>
          <w:rFonts w:ascii="Calibri" w:cs="Calibri" w:eastAsia="Calibri" w:hAnsi="Calibri"/>
          <w:b/>
          <w:bCs/>
          <w:i w:val="false"/>
          <w:iCs w:val="false"/>
          <w:color w:val="C8102E"/>
          <w:sz w:val="22"/>
          <w:szCs w:val="22"/>
        </w:rPr>
        <w:t xml:space="preserve">Q9.  </w:t>
      </w:r>
      <w:r>
        <w:rPr>
          <w:rFonts w:ascii="Calibri" w:cs="Calibri" w:eastAsia="Calibri" w:hAnsi="Calibri"/>
          <w:b/>
          <w:bCs/>
          <w:i w:val="false"/>
          <w:iCs w:val="false"/>
          <w:color w:val="1A1A2E"/>
          <w:sz w:val="22"/>
          <w:szCs w:val="22"/>
        </w:rPr>
        <w:t xml:space="preserve">Je peux visiter l’usine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6E43" w:sz="14" w:space="4"/>
              <w:bottom w:val="none" w:color="FFFFFF" w:sz="0"/>
              <w:right w:val="none" w:color="FFFFFF" w:sz="0"/>
            </w:tcBorders>
            <w:shd w:fill="FAF7F2" w:val="clear"/>
            <w:tcMar>
              <w:top w:type="dxa" w:w="140"/>
              <w:left w:type="dxa" w:w="200"/>
              <w:bottom w:type="dxa" w:w="140"/>
              <w:right w:type="dxa" w:w="200"/>
            </w:tcMar>
          </w:tcPr>
          <w:p>
            <w:pPr>
              <w:spacing w:after="0" w:before="0"/>
            </w:pPr>
            <w:r>
              <w:rPr>
                <w:rFonts w:ascii="Calibri" w:cs="Calibri" w:eastAsia="Calibri" w:hAnsi="Calibri"/>
                <w:b/>
                <w:bCs/>
                <w:i w:val="false"/>
                <w:iCs w:val="false"/>
                <w:color w:val="1F6E43"/>
                <w:sz w:val="20"/>
                <w:szCs w:val="20"/>
              </w:rPr>
              <w:t xml:space="preserve">Phrase clé : </w:t>
            </w:r>
            <w:r>
              <w:rPr>
                <w:rFonts w:ascii="Calibri" w:cs="Calibri" w:eastAsia="Calibri" w:hAnsi="Calibri"/>
                <w:b w:val="false"/>
                <w:bCs w:val="false"/>
                <w:i/>
                <w:iCs/>
                <w:color w:val="1A1A2E"/>
                <w:sz w:val="20"/>
                <w:szCs w:val="20"/>
              </w:rPr>
              <w:t xml:space="preserve">Oui — nous planifions activement des visites de site pour les partenaires qualifiés. La bonne fenêtre, c’est [à insérer], au moment où la mise en service atteint le jalon où vous verrez la ligne en fonctionnement, pas seulement installée.</w:t>
            </w:r>
          </w:p>
        </w:tc>
      </w:tr>
    </w:tbl>
    <w:p>
      <w:pPr>
        <w:spacing w:after="40" w:before="80"/>
      </w:pPr>
      <w:r>
        <w:rPr>
          <w:rFonts w:ascii="Calibri" w:cs="Calibri" w:eastAsia="Calibri" w:hAnsi="Calibri"/>
          <w:b/>
          <w:bCs/>
          <w:i w:val="false"/>
          <w:iCs w:val="false"/>
          <w:color w:val="1A1A2E"/>
          <w:sz w:val="19"/>
          <w:szCs w:val="19"/>
        </w:rPr>
        <w:t xml:space="preserve">Points d’appui :</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Nous accueillons les visites par groupes coordonnés, pour que l’acheteur voie une histoire opérationnelle, pas un chantier.</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Visite + tour d’usine + rencontre avec le partenaire Normandie peuvent être combinés pour les prospects sérieux.</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Nous gérons la logistique aéroport-aéroport à Casablanca pour les partenaires sous NDA signé.</w:t>
      </w:r>
    </w:p>
    <w:p>
      <w:pPr>
        <w:spacing w:after="40" w:before="80"/>
      </w:pPr>
      <w:r>
        <w:rPr>
          <w:rFonts w:ascii="Calibri" w:cs="Calibri" w:eastAsia="Calibri" w:hAnsi="Calibri"/>
          <w:b/>
          <w:bCs/>
          <w:i w:val="false"/>
          <w:iCs w:val="false"/>
          <w:color w:val="C8102E"/>
          <w:sz w:val="19"/>
          <w:szCs w:val="19"/>
        </w:rPr>
        <w:t xml:space="preserve">⚑ Vigilance : </w:t>
      </w:r>
      <w:r>
        <w:rPr>
          <w:rFonts w:ascii="Calibri" w:cs="Calibri" w:eastAsia="Calibri" w:hAnsi="Calibri"/>
          <w:b w:val="false"/>
          <w:bCs w:val="false"/>
          <w:i/>
          <w:iCs/>
          <w:color w:val="404040"/>
          <w:sz w:val="19"/>
          <w:szCs w:val="19"/>
        </w:rPr>
        <w:t xml:space="preserve">N’invitez pas un acheteur à venir la semaine prochaine si la mise en service n’y est pas. Séquencez les visites sur les jalons opérationnels.</w:t>
      </w:r>
    </w:p>
    <w:p>
      <w:pPr>
        <w:spacing w:after="60" w:before="200"/>
      </w:pPr>
      <w:r>
        <w:rPr>
          <w:rFonts w:ascii="Calibri" w:cs="Calibri" w:eastAsia="Calibri" w:hAnsi="Calibri"/>
          <w:b/>
          <w:bCs/>
          <w:i w:val="false"/>
          <w:iCs w:val="false"/>
          <w:color w:val="C8102E"/>
          <w:sz w:val="22"/>
          <w:szCs w:val="22"/>
        </w:rPr>
        <w:t xml:space="preserve">Q10.  </w:t>
      </w:r>
      <w:r>
        <w:rPr>
          <w:rFonts w:ascii="Calibri" w:cs="Calibri" w:eastAsia="Calibri" w:hAnsi="Calibri"/>
          <w:b/>
          <w:bCs/>
          <w:i w:val="false"/>
          <w:iCs w:val="false"/>
          <w:color w:val="1A1A2E"/>
          <w:sz w:val="22"/>
          <w:szCs w:val="22"/>
        </w:rPr>
        <w:t xml:space="preserve">RSE — quel est votre récit pour nos clients distributeurs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6E43" w:sz="14" w:space="4"/>
              <w:bottom w:val="none" w:color="FFFFFF" w:sz="0"/>
              <w:right w:val="none" w:color="FFFFFF" w:sz="0"/>
            </w:tcBorders>
            <w:shd w:fill="FAF7F2" w:val="clear"/>
            <w:tcMar>
              <w:top w:type="dxa" w:w="140"/>
              <w:left w:type="dxa" w:w="200"/>
              <w:bottom w:type="dxa" w:w="140"/>
              <w:right w:type="dxa" w:w="200"/>
            </w:tcMar>
          </w:tcPr>
          <w:p>
            <w:pPr>
              <w:spacing w:after="0" w:before="0"/>
            </w:pPr>
            <w:r>
              <w:rPr>
                <w:rFonts w:ascii="Calibri" w:cs="Calibri" w:eastAsia="Calibri" w:hAnsi="Calibri"/>
                <w:b/>
                <w:bCs/>
                <w:i w:val="false"/>
                <w:iCs w:val="false"/>
                <w:color w:val="1F6E43"/>
                <w:sz w:val="20"/>
                <w:szCs w:val="20"/>
              </w:rPr>
              <w:t xml:space="preserve">Phrase clé : </w:t>
            </w:r>
            <w:r>
              <w:rPr>
                <w:rFonts w:ascii="Calibri" w:cs="Calibri" w:eastAsia="Calibri" w:hAnsi="Calibri"/>
                <w:b w:val="false"/>
                <w:bCs w:val="false"/>
                <w:i/>
                <w:iCs/>
                <w:color w:val="1A1A2E"/>
                <w:sz w:val="20"/>
                <w:szCs w:val="20"/>
              </w:rPr>
              <w:t xml:space="preserve">Notre récit RSE a une crédibilité structurelle : un transit atlantique plus court signifie moins d’émissions de fret par tonne que le sourcing asiatique, et nous intégrons du solaire en autoconsommation sur la zone de production sèche dans le cadre de la Loi 40-19.</w:t>
            </w:r>
          </w:p>
        </w:tc>
      </w:tr>
    </w:tbl>
    <w:p>
      <w:pPr>
        <w:spacing w:after="40" w:before="80"/>
      </w:pPr>
      <w:r>
        <w:rPr>
          <w:rFonts w:ascii="Calibri" w:cs="Calibri" w:eastAsia="Calibri" w:hAnsi="Calibri"/>
          <w:b/>
          <w:bCs/>
          <w:i w:val="false"/>
          <w:iCs w:val="false"/>
          <w:color w:val="1A1A2E"/>
          <w:sz w:val="19"/>
          <w:szCs w:val="19"/>
        </w:rPr>
        <w:t xml:space="preserve">Points d’appui :</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L’intégration solaire sur la zone sèche est en cours de développement et est éligible aux dispositifs marocains ECOTAQA / TATWIR / exonération TVA.</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La certification export vert pour les marchés européens fait partie du programme — la même documentation soutient les exigences ESG des distributeurs américains.</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Nous pouvons produire sur demande une comparaison émissions de fret vs sourcing asiatique.</w:t>
      </w:r>
    </w:p>
    <w:p>
      <w:pPr>
        <w:spacing w:after="40" w:before="80"/>
      </w:pPr>
      <w:r>
        <w:rPr>
          <w:rFonts w:ascii="Calibri" w:cs="Calibri" w:eastAsia="Calibri" w:hAnsi="Calibri"/>
          <w:b/>
          <w:bCs/>
          <w:i w:val="false"/>
          <w:iCs w:val="false"/>
          <w:color w:val="C8102E"/>
          <w:sz w:val="19"/>
          <w:szCs w:val="19"/>
        </w:rPr>
        <w:t xml:space="preserve">⚑ Vigilance : </w:t>
      </w:r>
      <w:r>
        <w:rPr>
          <w:rFonts w:ascii="Calibri" w:cs="Calibri" w:eastAsia="Calibri" w:hAnsi="Calibri"/>
          <w:b w:val="false"/>
          <w:bCs w:val="false"/>
          <w:i/>
          <w:iCs/>
          <w:color w:val="404040"/>
          <w:sz w:val="19"/>
          <w:szCs w:val="19"/>
        </w:rPr>
        <w:t xml:space="preserve">Ne revendiquez pas un statut neutre carbone ou green-certified aujourd’hui. ‘Sur la trajectoire, en dessous de l’Asie’ est le cadrage honnête.</w:t>
      </w:r>
    </w:p>
    <w:p>
      <w:pPr>
        <w:pBdr>
          <w:bottom w:val="single" w:color="C8102E" w:sz="6" w:space="2"/>
        </w:pBdr>
        <w:spacing w:after="100" w:before="280"/>
      </w:pPr>
      <w:r>
        <w:rPr>
          <w:rFonts w:ascii="Calibri" w:cs="Calibri" w:eastAsia="Calibri" w:hAnsi="Calibri"/>
          <w:b/>
          <w:bCs/>
          <w:i w:val="false"/>
          <w:iCs w:val="false"/>
          <w:color w:val="C8102E"/>
          <w:spacing w:val="20"/>
          <w:sz w:val="24"/>
          <w:szCs w:val="24"/>
        </w:rPr>
        <w:t xml:space="preserve">LISTE DES PHRASES À ÉVITER</w:t>
      </w:r>
    </w:p>
    <w:p>
      <w:pPr>
        <w:spacing w:after="80" w:before="80"/>
        <w:jc w:val="left"/>
      </w:pPr>
      <w:r>
        <w:rPr>
          <w:rFonts w:ascii="Calibri" w:cs="Calibri" w:eastAsia="Calibri" w:hAnsi="Calibri"/>
          <w:b w:val="false"/>
          <w:bCs w:val="false"/>
          <w:i/>
          <w:iCs/>
          <w:color w:val="404040"/>
          <w:sz w:val="20"/>
          <w:szCs w:val="20"/>
        </w:rPr>
        <w:t xml:space="preserve">Cinq phrases qui peuvent vous coûter le deal. À éviter quoi qu’il arrive dans la conversation.</w:t>
      </w:r>
    </w:p>
    <w:p>
      <w:pPr>
        <w:pStyle w:val="ListParagraph"/>
        <w:numPr>
          <w:ilvl w:val="0"/>
          <w:numId w:val="2"/>
        </w:numPr>
        <w:spacing w:after="30" w:before="30"/>
      </w:pPr>
      <w:r>
        <w:rPr>
          <w:rFonts w:ascii="Calibri" w:cs="Calibri" w:eastAsia="Calibri" w:hAnsi="Calibri"/>
          <w:b/>
          <w:bCs/>
          <w:i w:val="false"/>
          <w:iCs w:val="false"/>
          <w:color w:val="1A1A2E"/>
          <w:sz w:val="20"/>
          <w:szCs w:val="20"/>
        </w:rPr>
        <w:t xml:space="preserve">« Le prix ferme, c’est X par kilo. » </w:t>
      </w:r>
      <w:r>
        <w:rPr>
          <w:rFonts w:ascii="Calibri" w:cs="Calibri" w:eastAsia="Calibri" w:hAnsi="Calibri"/>
          <w:b w:val="false"/>
          <w:bCs w:val="false"/>
          <w:i w:val="false"/>
          <w:iCs w:val="false"/>
          <w:color w:val="404040"/>
          <w:sz w:val="20"/>
          <w:szCs w:val="20"/>
        </w:rPr>
        <w:t xml:space="preserve">On chiffre contre un cahier des charges et un format, jamais contre une question.</w:t>
      </w:r>
    </w:p>
    <w:p>
      <w:pPr>
        <w:pStyle w:val="ListParagraph"/>
        <w:numPr>
          <w:ilvl w:val="0"/>
          <w:numId w:val="2"/>
        </w:numPr>
        <w:spacing w:after="30" w:before="30"/>
      </w:pPr>
      <w:r>
        <w:rPr>
          <w:rFonts w:ascii="Calibri" w:cs="Calibri" w:eastAsia="Calibri" w:hAnsi="Calibri"/>
          <w:b/>
          <w:bCs/>
          <w:i w:val="false"/>
          <w:iCs w:val="false"/>
          <w:color w:val="1A1A2E"/>
          <w:sz w:val="20"/>
          <w:szCs w:val="20"/>
        </w:rPr>
        <w:t xml:space="preserve">« Nous sommes certifiés HACCP / ISO / FDA. » </w:t>
      </w:r>
      <w:r>
        <w:rPr>
          <w:rFonts w:ascii="Calibri" w:cs="Calibri" w:eastAsia="Calibri" w:hAnsi="Calibri"/>
          <w:b w:val="false"/>
          <w:bCs w:val="false"/>
          <w:i w:val="false"/>
          <w:iCs w:val="false"/>
          <w:color w:val="404040"/>
          <w:sz w:val="20"/>
          <w:szCs w:val="20"/>
        </w:rPr>
        <w:t xml:space="preserve">Si vous ne l’êtes pas, vous ne l’êtes pas. ‘En cours de mise en place’ suffit.</w:t>
      </w:r>
    </w:p>
    <w:p>
      <w:pPr>
        <w:pStyle w:val="ListParagraph"/>
        <w:numPr>
          <w:ilvl w:val="0"/>
          <w:numId w:val="2"/>
        </w:numPr>
        <w:spacing w:after="30" w:before="30"/>
      </w:pPr>
      <w:r>
        <w:rPr>
          <w:rFonts w:ascii="Calibri" w:cs="Calibri" w:eastAsia="Calibri" w:hAnsi="Calibri"/>
          <w:b/>
          <w:bCs/>
          <w:i w:val="false"/>
          <w:iCs w:val="false"/>
          <w:color w:val="1A1A2E"/>
          <w:sz w:val="20"/>
          <w:szCs w:val="20"/>
        </w:rPr>
        <w:t xml:space="preserve">« Je peux expédier le mois prochain. » </w:t>
      </w:r>
      <w:r>
        <w:rPr>
          <w:rFonts w:ascii="Calibri" w:cs="Calibri" w:eastAsia="Calibri" w:hAnsi="Calibri"/>
          <w:b w:val="false"/>
          <w:bCs w:val="false"/>
          <w:i w:val="false"/>
          <w:iCs w:val="false"/>
          <w:color w:val="404040"/>
          <w:sz w:val="20"/>
          <w:szCs w:val="20"/>
        </w:rPr>
        <w:t xml:space="preserve">Le timing de mise en service, c’est la vérité. Ne le déformez pas pour la salle.</w:t>
      </w:r>
    </w:p>
    <w:p>
      <w:pPr>
        <w:pStyle w:val="ListParagraph"/>
        <w:numPr>
          <w:ilvl w:val="0"/>
          <w:numId w:val="2"/>
        </w:numPr>
        <w:spacing w:after="30" w:before="30"/>
      </w:pPr>
      <w:r>
        <w:rPr>
          <w:rFonts w:ascii="Calibri" w:cs="Calibri" w:eastAsia="Calibri" w:hAnsi="Calibri"/>
          <w:b/>
          <w:bCs/>
          <w:i w:val="false"/>
          <w:iCs w:val="false"/>
          <w:color w:val="1A1A2E"/>
          <w:sz w:val="20"/>
          <w:szCs w:val="20"/>
        </w:rPr>
        <w:t xml:space="preserve">« Nous sommes en exclusivité avec Normandie. » </w:t>
      </w:r>
      <w:r>
        <w:rPr>
          <w:rFonts w:ascii="Calibri" w:cs="Calibri" w:eastAsia="Calibri" w:hAnsi="Calibri"/>
          <w:b w:val="false"/>
          <w:bCs w:val="false"/>
          <w:i w:val="false"/>
          <w:iCs w:val="false"/>
          <w:color w:val="404040"/>
          <w:sz w:val="20"/>
          <w:szCs w:val="20"/>
        </w:rPr>
        <w:t xml:space="preserve">Vous ne l’êtes pas. Petland est propriétaire de l’usine. La JV contractuelle ne verrouille pas l’actif.</w:t>
      </w:r>
    </w:p>
    <w:p>
      <w:pPr>
        <w:pStyle w:val="ListParagraph"/>
        <w:numPr>
          <w:ilvl w:val="0"/>
          <w:numId w:val="2"/>
        </w:numPr>
        <w:spacing w:after="30" w:before="30"/>
      </w:pPr>
      <w:r>
        <w:rPr>
          <w:rFonts w:ascii="Calibri" w:cs="Calibri" w:eastAsia="Calibri" w:hAnsi="Calibri"/>
          <w:b/>
          <w:bCs/>
          <w:i w:val="false"/>
          <w:iCs w:val="false"/>
          <w:color w:val="1A1A2E"/>
          <w:sz w:val="20"/>
          <w:szCs w:val="20"/>
        </w:rPr>
        <w:t xml:space="preserve">« Je vous reviens la semaine prochaine. » </w:t>
      </w:r>
      <w:r>
        <w:rPr>
          <w:rFonts w:ascii="Calibri" w:cs="Calibri" w:eastAsia="Calibri" w:hAnsi="Calibri"/>
          <w:b w:val="false"/>
          <w:bCs w:val="false"/>
          <w:i w:val="false"/>
          <w:iCs w:val="false"/>
          <w:color w:val="404040"/>
          <w:sz w:val="20"/>
          <w:szCs w:val="20"/>
        </w:rPr>
        <w:t xml:space="preserve">Dites 48 heures. Puis tenez les 48 heures. La vitesse du suivi fait partie du pitch.</w:t>
      </w:r>
    </w:p>
    <w:p>
      <w:pPr>
        <w:pBdr>
          <w:bottom w:val="single" w:color="C8102E" w:sz="6" w:space="2"/>
        </w:pBdr>
        <w:spacing w:after="100" w:before="280"/>
      </w:pPr>
      <w:r>
        <w:rPr>
          <w:rFonts w:ascii="Calibri" w:cs="Calibri" w:eastAsia="Calibri" w:hAnsi="Calibri"/>
          <w:b/>
          <w:bCs/>
          <w:i w:val="false"/>
          <w:iCs w:val="false"/>
          <w:color w:val="C8102E"/>
          <w:spacing w:val="20"/>
          <w:sz w:val="24"/>
          <w:szCs w:val="24"/>
        </w:rPr>
        <w:t xml:space="preserve">CHECK-LIST DU MATÉRIEL POUR LA JOURNÉE</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Fiche pitch — version anglaise (10 exemplaires).</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Fiche pitch — version française (5 exemplaires pour les acheteurs québécois / francophones).</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Dossier 2 pages étendu (5 exemplaires, pour les rendez-vous assis uniquement).</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Cartes de visite (50). QR LinkedIn au dos si possible.</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Téléphone chargé avec : photos du site, rendu de la ligne FAMSUN, plan de localisation de l’usine, et 60 secondes de vidéo silencieuse du chantier.</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Une fiche de référence ‘À propos de Normandie Pet Food’ (info publique uniquement — aucune condition de deal).</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Un vrai carnet. Notez le nom de chaque acheteur, l’entreprise, la douleur qu’il a nommée, et l’étape suivante convenue.</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Modèle d’email de relance 48 heures, rédigé avant le jour J pour pouvoir l’envoyer le soir même.</w:t>
      </w:r>
    </w:p>
    <w:p>
      <w:pPr>
        <w:pBdr>
          <w:bottom w:val="single" w:color="C8102E" w:sz="6" w:space="2"/>
        </w:pBdr>
        <w:spacing w:after="100" w:before="280"/>
      </w:pPr>
      <w:r>
        <w:rPr>
          <w:rFonts w:ascii="Calibri" w:cs="Calibri" w:eastAsia="Calibri" w:hAnsi="Calibri"/>
          <w:b/>
          <w:bCs/>
          <w:i w:val="false"/>
          <w:iCs w:val="false"/>
          <w:color w:val="C8102E"/>
          <w:spacing w:val="20"/>
          <w:sz w:val="24"/>
          <w:szCs w:val="24"/>
        </w:rPr>
        <w:t xml:space="preserve">APRÈS LE RENDEZ-VOUS — DISCIPLINE DU JOUR MÊME</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Sous 1 heure : reportez chaque carte de visite avec la douleur nommée par l’acheteur et l’étape suivante convenue dans votre carnet.</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Sous 24 heures : envoyez une relance personnalisée qui reprend la chose précise qu’il a dite, pas un copier-coller générique.</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Sous 48 heures : envoyez le livrable demandé (échantillon de cahier des charges, structure de devis, dates de visite d’usine), même partiel.</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Sous 7 jours : un récapitulatif écrit aux deux ou trois acheteurs avec qui vous voulez vraiment ancrer — cadré comme une proposition de partenariat, pas comme un pitch.</w:t>
      </w:r>
    </w:p>
    <w:p>
      <w:pPr>
        <w:pBdr>
          <w:bottom w:val="single" w:color="C8102E" w:sz="12" w:space="1"/>
        </w:pBdr>
        <w:spacing w:after="120" w:before="320"/>
      </w:pPr>
      <w:r>
        <w:rPr>
          <w:rFonts w:ascii="Calibri" w:cs="Calibri" w:eastAsia="Calibri" w:hAnsi="Calibri"/>
          <w:b w:val="false"/>
          <w:bCs w:val="false"/>
          <w:i w:val="false"/>
          <w:iCs w:val="false"/>
          <w:color w:val="404040"/>
          <w:sz w:val="2"/>
          <w:szCs w:val="2"/>
        </w:rPr>
        <w:t xml:space="preserve"/>
      </w:r>
    </w:p>
    <w:p>
      <w:pPr>
        <w:spacing w:after="80" w:before="0"/>
        <w:jc w:val="center"/>
      </w:pPr>
      <w:r>
        <w:rPr>
          <w:rFonts w:ascii="Calibri" w:cs="Calibri" w:eastAsia="Calibri" w:hAnsi="Calibri"/>
          <w:b/>
          <w:bCs/>
          <w:i/>
          <w:iCs/>
          <w:color w:val="C8102E"/>
          <w:sz w:val="22"/>
          <w:szCs w:val="22"/>
        </w:rPr>
        <w:t xml:space="preserve">Les acheteurs prennent l’avion pour une seule journée. Faites-en celle dont ils se souviendront.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 Factory — Playbook Acheteurs du 5 mai</dc:title>
  <dc:creator>Sam ElAribi</dc:creator>
  <cp:lastModifiedBy>Un-named</cp:lastModifiedBy>
  <cp:revision>1</cp:revision>
  <dcterms:created xsi:type="dcterms:W3CDTF">2026-05-04T16:41:10.835Z</dcterms:created>
  <dcterms:modified xsi:type="dcterms:W3CDTF">2026-05-04T16:41:10.836Z</dcterms:modified>
</cp:coreProperties>
</file>

<file path=docProps/custom.xml><?xml version="1.0" encoding="utf-8"?>
<Properties xmlns="http://schemas.openxmlformats.org/officeDocument/2006/custom-properties" xmlns:vt="http://schemas.openxmlformats.org/officeDocument/2006/docPropsVTypes"/>
</file>