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STANDARD OPERATING PROCEDURE (SOP)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BFBFBF" w:val="clear"/>
          </w:tcPr>
          <w:p>
            <w:r>
              <w:rPr>
                <w:b/>
                <w:sz w:val="24"/>
              </w:rPr>
              <w:t>General Information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Process Title: </w:t>
            </w:r>
            <w:r>
              <w:t>Eclipse Monitoring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Department: </w:t>
            </w:r>
            <w:r>
              <w:t>Instrumentation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Contact Info: </w:t>
            </w:r>
            <w:r>
              <w:t>—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SOP ID: </w:t>
            </w:r>
            <w:r>
              <w:t>SOP-9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Effective Date: </w:t>
            </w:r>
            <w:r>
              <w:t>—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Revision Number: </w:t>
            </w:r>
            <w:r>
              <w:t>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BFBFBF" w:val="clear"/>
          </w:tcPr>
          <w:p>
            <w:r>
              <w:rPr>
                <w:b/>
                <w:sz w:val="24"/>
              </w:rPr>
              <w:t>Process Overview</w:t>
            </w:r>
          </w:p>
        </w:tc>
      </w:tr>
    </w:tbl>
    <w:p/>
    <w:p>
      <w:r>
        <w:rPr>
          <w:b/>
        </w:rPr>
        <w:t xml:space="preserve">Process Description: </w:t>
      </w:r>
      <w:r>
        <w:t>Procedure for monitoring and managing Eclipse-related operations and anomalies.</w:t>
      </w:r>
    </w:p>
    <w:p/>
    <w:p>
      <w:r>
        <w:rPr>
          <w:b/>
        </w:rPr>
        <w:t xml:space="preserve">Purpose &amp; Scope: </w:t>
      </w:r>
      <w:r>
        <w:t>This SOP outlines the steps for monitoring Eclipse operations, detecting anomalies, and responding to incidents.</w:t>
      </w:r>
    </w:p>
    <w:p/>
    <w:p>
      <w:r>
        <w:rPr>
          <w:b/>
        </w:rPr>
        <w:t xml:space="preserve">Definitions &amp; Related Documents: </w:t>
      </w:r>
      <w:r>
        <w:t>Eclipse monitoring refers to the continuous observation and analysis of Eclipse operations to ensure system stability and performance.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BFBFBF" w:val="clear"/>
          </w:tcPr>
          <w:p>
            <w:r>
              <w:rPr>
                <w:b/>
                <w:sz w:val="24"/>
              </w:rPr>
              <w:t>Process Steps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 w:val="clear"/>
          </w:tcPr>
          <w:p>
            <w:r>
              <w:rPr>
                <w:b/>
              </w:rPr>
              <w:t>WBS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Initialize Monitoring Setup</w:t>
            </w:r>
          </w:p>
        </w:tc>
        <w:tc>
          <w:tcPr>
            <w:tcW w:type="dxa" w:w="2880"/>
          </w:tcPr>
          <w:p>
            <w:r>
              <w:t>Instrumentation Team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Configure Data Sources</w:t>
            </w:r>
          </w:p>
        </w:tc>
        <w:tc>
          <w:tcPr>
            <w:tcW w:type="dxa" w:w="2880"/>
          </w:tcPr>
          <w:p>
            <w:r>
              <w:t>Data Engineering</w:t>
            </w:r>
          </w:p>
        </w:tc>
      </w:tr>
      <w:tr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Start Monitoring Cycle</w:t>
            </w:r>
          </w:p>
        </w:tc>
        <w:tc>
          <w:tcPr>
            <w:tcW w:type="dxa" w:w="2880"/>
          </w:tcPr>
          <w:p>
            <w:r>
              <w:t>Monitoring Team</w:t>
            </w:r>
          </w:p>
        </w:tc>
      </w:tr>
      <w:tr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Detect Anomalies</w:t>
            </w:r>
          </w:p>
        </w:tc>
        <w:tc>
          <w:tcPr>
            <w:tcW w:type="dxa" w:w="2880"/>
          </w:tcPr>
          <w:p>
            <w:r>
              <w:t>Anomaly Detection Team</w:t>
            </w:r>
          </w:p>
        </w:tc>
      </w:tr>
      <w:tr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Generate Alerts</w:t>
            </w:r>
          </w:p>
        </w:tc>
        <w:tc>
          <w:tcPr>
            <w:tcW w:type="dxa" w:w="2880"/>
          </w:tcPr>
          <w:p>
            <w:r>
              <w:t>Alert Management</w:t>
            </w:r>
          </w:p>
        </w:tc>
      </w:tr>
      <w:tr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Investigate and Resolve Anomalies</w:t>
            </w:r>
          </w:p>
        </w:tc>
        <w:tc>
          <w:tcPr>
            <w:tcW w:type="dxa" w:w="2880"/>
          </w:tcPr>
          <w:p>
            <w:r>
              <w:t>Incident Response Team</w:t>
            </w:r>
          </w:p>
        </w:tc>
      </w:tr>
      <w:tr>
        <w:tc>
          <w:tcPr>
            <w:tcW w:type="dxa" w:w="2880"/>
          </w:tcPr>
          <w:p>
            <w:r>
              <w:t>7.0</w:t>
            </w:r>
          </w:p>
        </w:tc>
        <w:tc>
          <w:tcPr>
            <w:tcW w:type="dxa" w:w="2880"/>
          </w:tcPr>
          <w:p>
            <w:r>
              <w:t>Document and Review</w:t>
            </w:r>
          </w:p>
        </w:tc>
        <w:tc>
          <w:tcPr>
            <w:tcW w:type="dxa" w:w="2880"/>
          </w:tcPr>
          <w:p>
            <w:r>
              <w:t>SOP Maintenance Team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