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1F3864"/>
          <w:sz w:val="32"/>
          <w:szCs w:val="32"/>
        </w:rPr>
        <w:t xml:space="preserve">PROGRAMME NATIONAL DE FRAÎCHEUR PASSIVE</w:t>
      </w:r>
    </w:p>
    <w:p>
      <w:pPr>
        <w:spacing w:after="60"/>
        <w:jc w:val="center"/>
      </w:pPr>
      <w:r>
        <w:rPr>
          <w:rFonts w:ascii="Calibri" w:cs="Calibri" w:eastAsia="Calibri" w:hAnsi="Calibri"/>
          <w:b/>
          <w:bCs/>
          <w:sz w:val="24"/>
          <w:szCs w:val="24"/>
        </w:rPr>
        <w:t xml:space="preserve">Dossier d'appui : étude de marché, plan financier décennal, étude d'impact</w:t>
      </w:r>
    </w:p>
    <w:p>
      <w:pPr>
        <w:pBdr>
          <w:bottom w:val="single" w:color="1F3864" w:sz="6" w:space="4"/>
        </w:pBdr>
        <w:spacing w:after="200"/>
        <w:jc w:val="center"/>
      </w:pPr>
      <w:r>
        <w:rPr>
          <w:rFonts w:ascii="Calibri" w:cs="Calibri" w:eastAsia="Calibri" w:hAnsi="Calibri"/>
          <w:i/>
          <w:iCs/>
          <w:color w:val="595959"/>
          <w:sz w:val="19"/>
          <w:szCs w:val="19"/>
        </w:rPr>
        <w:t xml:space="preserve">Document complémentaire à la note « Un réseau national de fraîcheur passive » — Juillet 2026</w:t>
      </w:r>
    </w:p>
    <w:p>
      <w:pPr>
        <w:spacing w:after="100" w:line="252"/>
        <w:jc w:val="both"/>
      </w:pPr>
      <w:r>
        <w:rPr>
          <w:rFonts w:ascii="Calibri" w:cs="Calibri" w:eastAsia="Calibri" w:hAnsi="Calibri"/>
          <w:b/>
          <w:bCs/>
          <w:sz w:val="20"/>
          <w:szCs w:val="20"/>
        </w:rPr>
        <w:t xml:space="preserve">Objet. </w:t>
      </w:r>
      <w:r>
        <w:rPr>
          <w:rFonts w:ascii="Calibri" w:cs="Calibri" w:eastAsia="Calibri" w:hAnsi="Calibri"/>
          <w:sz w:val="20"/>
          <w:szCs w:val="20"/>
        </w:rPr>
        <w:t xml:space="preserve">Ce dossier fournit aux cabinets parlementaires et ministériels les éléments d'appréciation du programme proposé : dimensionnement du besoin (partie I), trajectoire budgétaire et retour sur investissement sur dix ans (partie II), impacts attendus et risques (partie III). Tous les chiffrages sont des ordres de grandeur destinés au cadrage politique ; ils appellent une contre-expertise par les administrations compétentes (DGEC, DGALN, ADEME, Cerema).</w:t>
      </w:r>
    </w:p>
    <w:p>
      <w:pPr>
        <w:pBdr>
          <w:bottom w:val="single" w:color="1F3864" w:sz="6" w:space="3"/>
        </w:pBdr>
        <w:spacing w:after="120" w:before="300"/>
      </w:pPr>
      <w:r>
        <w:rPr>
          <w:rFonts w:ascii="Calibri" w:cs="Calibri" w:eastAsia="Calibri" w:hAnsi="Calibri"/>
          <w:b/>
          <w:bCs/>
          <w:color w:val="1F3864"/>
          <w:sz w:val="27"/>
          <w:szCs w:val="27"/>
        </w:rPr>
        <w:t xml:space="preserve">PARTIE I — ÉTUDE DE MARCHÉ : LE BESOIN NATIONAL</w:t>
      </w:r>
    </w:p>
    <w:p>
      <w:pPr>
        <w:spacing w:after="80" w:before="200"/>
      </w:pPr>
      <w:r>
        <w:rPr>
          <w:rFonts w:ascii="Calibri" w:cs="Calibri" w:eastAsia="Calibri" w:hAnsi="Calibri"/>
          <w:b/>
          <w:bCs/>
          <w:color w:val="1F3864"/>
          <w:sz w:val="22"/>
          <w:szCs w:val="22"/>
        </w:rPr>
        <w:t xml:space="preserve">1.1 Une demande structurelle en forte croissance</w:t>
      </w:r>
    </w:p>
    <w:p>
      <w:pPr>
        <w:spacing w:after="100" w:line="252"/>
        <w:jc w:val="both"/>
      </w:pPr>
      <w:r>
        <w:rPr>
          <w:rFonts w:ascii="Calibri" w:cs="Calibri" w:eastAsia="Calibri" w:hAnsi="Calibri"/>
          <w:sz w:val="20"/>
          <w:szCs w:val="20"/>
        </w:rPr>
        <w:t xml:space="preserve">Les projections climatiques placent désormais des pointes à 45–50 °C dans le champ du plausible pour les décennies à venir. La réponse spontanée du marché est la climatisation individuelle : environ un quart des logements français en est équipé, un taux qui a doublé en une décennie et continue de croître à chaque canicule. Ce marché de plusieurs centaines de milliers d'unités par an repose sur des équipements et des fluides très majoritairement importés, une consommation électrique concentrée sur la pointe estivale, et une durée de vie de 10 à 15 ans. Il existe donc une demande massive, solvable et récurrente pour le confort d'été — aujourd'hui captée par une solution qui aggrave le problème systémique qu'elle prétend résoudre.</w:t>
      </w:r>
    </w:p>
    <w:p>
      <w:pPr>
        <w:spacing w:after="80" w:before="200"/>
      </w:pPr>
      <w:r>
        <w:rPr>
          <w:rFonts w:ascii="Calibri" w:cs="Calibri" w:eastAsia="Calibri" w:hAnsi="Calibri"/>
          <w:b/>
          <w:bCs/>
          <w:color w:val="1F3864"/>
          <w:sz w:val="22"/>
          <w:szCs w:val="22"/>
        </w:rPr>
        <w:t xml:space="preserve">1.2 L'offre passive : un gisement dormant et une filière prête</w:t>
      </w:r>
    </w:p>
    <w:p>
      <w:pPr>
        <w:spacing w:after="100" w:line="252"/>
        <w:jc w:val="both"/>
      </w:pPr>
      <w:r>
        <w:rPr>
          <w:rFonts w:ascii="Calibri" w:cs="Calibri" w:eastAsia="Calibri" w:hAnsi="Calibri"/>
          <w:sz w:val="20"/>
          <w:szCs w:val="20"/>
        </w:rPr>
        <w:t xml:space="preserve">Face à cette demande, l'offre passive dispose de trois atouts rares. Un gisement patrimonial : plusieurs milliers de glacières historiques, caves voûtées et souterrains communaux existent déjà, souvent en bon état structurel — leur réhabilitation coûte 3 à 5 fois moins cher qu'une construction neuve. Une filière technique opérationnelle : la géothermie de surface est une filière française structurée (foreurs, bureaux d'études), et le plus grand réseau de froid d'Europe fonctionne à Paris depuis des décennies. Enfin, une main-d'œuvre mobilisable : les métiers requis (terrassement, maçonnerie, chaux) existent sur tout le territoire et ne demandent qu'un complément de formation court.</w:t>
      </w:r>
    </w:p>
    <w:p>
      <w:pPr>
        <w:spacing w:after="80" w:before="200"/>
      </w:pPr>
      <w:r>
        <w:rPr>
          <w:rFonts w:ascii="Calibri" w:cs="Calibri" w:eastAsia="Calibri" w:hAnsi="Calibri"/>
          <w:b/>
          <w:bCs/>
          <w:color w:val="1F3864"/>
          <w:sz w:val="22"/>
          <w:szCs w:val="22"/>
        </w:rPr>
        <w:t xml:space="preserve">1.3 Segmentation du marché national</w:t>
      </w:r>
    </w:p>
    <w:tbl>
      <w:tblPr>
        <w:tblW w:type="dxa" w:w="9640"/>
        <w:tblBorders>
          <w:top w:val="single" w:color="8EAADB" w:sz="4"/>
          <w:left w:val="single" w:color="8EAADB" w:sz="4"/>
          <w:bottom w:val="single" w:color="8EAADB" w:sz="4"/>
          <w:right w:val="single" w:color="8EAADB" w:sz="4"/>
          <w:insideH w:val="single" w:color="B4C7E7" w:sz="2"/>
          <w:insideV w:val="single" w:color="B4C7E7" w:sz="2"/>
        </w:tblBorders>
      </w:tblPr>
      <w:tblGrid>
        <w:gridCol w:w="2500"/>
        <w:gridCol w:w="2300"/>
        <w:gridCol w:w="2400"/>
        <w:gridCol w:w="2440"/>
      </w:tblGrid>
      <w:tr>
        <w:tc>
          <w:tcPr>
            <w:tcW w:type="dxa" w:w="2500"/>
            <w:shd w:fill="DEE7F3" w:val="clear"/>
            <w:tcMar>
              <w:top w:type="dxa" w:w="40"/>
              <w:left w:type="dxa" w:w="100"/>
              <w:bottom w:type="dxa" w:w="40"/>
              <w:right w:type="dxa" w:w="100"/>
            </w:tcMar>
          </w:tcPr>
          <w:p>
            <w:pPr>
              <w:spacing w:after="0"/>
              <w:jc w:val="left"/>
            </w:pPr>
            <w:r>
              <w:rPr>
                <w:rFonts w:ascii="Calibri" w:cs="Calibri" w:eastAsia="Calibri" w:hAnsi="Calibri"/>
                <w:b/>
                <w:bCs/>
                <w:sz w:val="18"/>
                <w:szCs w:val="18"/>
              </w:rPr>
              <w:t xml:space="preserve">Segment</w:t>
            </w:r>
          </w:p>
        </w:tc>
        <w:tc>
          <w:tcPr>
            <w:tcW w:type="dxa" w:w="2300"/>
            <w:shd w:fill="DEE7F3" w:val="clear"/>
            <w:tcMar>
              <w:top w:type="dxa" w:w="40"/>
              <w:left w:type="dxa" w:w="100"/>
              <w:bottom w:type="dxa" w:w="40"/>
              <w:right w:type="dxa" w:w="100"/>
            </w:tcMar>
          </w:tcPr>
          <w:p>
            <w:pPr>
              <w:spacing w:after="0"/>
              <w:jc w:val="left"/>
            </w:pPr>
            <w:r>
              <w:rPr>
                <w:rFonts w:ascii="Calibri" w:cs="Calibri" w:eastAsia="Calibri" w:hAnsi="Calibri"/>
                <w:b/>
                <w:bCs/>
                <w:sz w:val="18"/>
                <w:szCs w:val="18"/>
              </w:rPr>
              <w:t xml:space="preserve">Gisement (ordre de grandeur)</w:t>
            </w:r>
          </w:p>
        </w:tc>
        <w:tc>
          <w:tcPr>
            <w:tcW w:type="dxa" w:w="2400"/>
            <w:shd w:fill="DEE7F3" w:val="clear"/>
            <w:tcMar>
              <w:top w:type="dxa" w:w="40"/>
              <w:left w:type="dxa" w:w="100"/>
              <w:bottom w:type="dxa" w:w="40"/>
              <w:right w:type="dxa" w:w="100"/>
            </w:tcMar>
          </w:tcPr>
          <w:p>
            <w:pPr>
              <w:spacing w:after="0"/>
              <w:jc w:val="left"/>
            </w:pPr>
            <w:r>
              <w:rPr>
                <w:rFonts w:ascii="Calibri" w:cs="Calibri" w:eastAsia="Calibri" w:hAnsi="Calibri"/>
                <w:b/>
                <w:bCs/>
                <w:sz w:val="18"/>
                <w:szCs w:val="18"/>
              </w:rPr>
              <w:t xml:space="preserve">Solution passive</w:t>
            </w:r>
          </w:p>
        </w:tc>
        <w:tc>
          <w:tcPr>
            <w:tcW w:type="dxa" w:w="2440"/>
            <w:shd w:fill="DEE7F3" w:val="clear"/>
            <w:tcMar>
              <w:top w:type="dxa" w:w="40"/>
              <w:left w:type="dxa" w:w="100"/>
              <w:bottom w:type="dxa" w:w="40"/>
              <w:right w:type="dxa" w:w="100"/>
            </w:tcMar>
          </w:tcPr>
          <w:p>
            <w:pPr>
              <w:spacing w:after="0"/>
              <w:jc w:val="left"/>
            </w:pPr>
            <w:r>
              <w:rPr>
                <w:rFonts w:ascii="Calibri" w:cs="Calibri" w:eastAsia="Calibri" w:hAnsi="Calibri"/>
                <w:b/>
                <w:bCs/>
                <w:sz w:val="18"/>
                <w:szCs w:val="18"/>
              </w:rPr>
              <w:t xml:space="preserve">Maturité</w:t>
            </w:r>
          </w:p>
        </w:tc>
      </w:tr>
      <w:tr>
        <w:tc>
          <w:tcPr>
            <w:tcW w:type="dxa" w:w="25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Communes rurales et périurbaines</w:t>
            </w:r>
          </w:p>
        </w:tc>
        <w:tc>
          <w:tcPr>
            <w:tcW w:type="dxa" w:w="23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 30 000 communes &lt; 3 500 hab.</w:t>
            </w:r>
          </w:p>
        </w:tc>
        <w:tc>
          <w:tcPr>
            <w:tcW w:type="dxa" w:w="24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Refuge thermique communal (glacière restaurée ou cave neuve)</w:t>
            </w:r>
          </w:p>
        </w:tc>
        <w:tc>
          <w:tcPr>
            <w:tcW w:type="dxa" w:w="24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Immédiate — techniques éprouvées depuis 3 siècles</w:t>
            </w:r>
          </w:p>
        </w:tc>
      </w:tr>
      <w:tr>
        <w:tc>
          <w:tcPr>
            <w:tcW w:type="dxa" w:w="25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Bâtiments publics sensibles</w:t>
            </w:r>
          </w:p>
        </w:tc>
        <w:tc>
          <w:tcPr>
            <w:tcW w:type="dxa" w:w="23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 7 500 EHPAD, ≈ 50 000 écoles</w:t>
            </w:r>
          </w:p>
        </w:tc>
        <w:tc>
          <w:tcPr>
            <w:tcW w:type="dxa" w:w="24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Puits provençaux, géocooling sur nappe</w:t>
            </w:r>
          </w:p>
        </w:tc>
        <w:tc>
          <w:tcPr>
            <w:tcW w:type="dxa" w:w="24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Immédiate — filière géothermie de surface existante</w:t>
            </w:r>
          </w:p>
        </w:tc>
      </w:tr>
      <w:tr>
        <w:tc>
          <w:tcPr>
            <w:tcW w:type="dxa" w:w="25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Halles et marchés</w:t>
            </w:r>
          </w:p>
        </w:tc>
        <w:tc>
          <w:tcPr>
            <w:tcW w:type="dxa" w:w="23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Plusieurs milliers de halles, sous-sols voûtés souvent existants</w:t>
            </w:r>
          </w:p>
        </w:tc>
        <w:tc>
          <w:tcPr>
            <w:tcW w:type="dxa" w:w="24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Stockage passif mutualisé + pré-refroidissement des chambres froides</w:t>
            </w:r>
          </w:p>
        </w:tc>
        <w:tc>
          <w:tcPr>
            <w:tcW w:type="dxa" w:w="24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Immédiate</w:t>
            </w:r>
          </w:p>
        </w:tc>
      </w:tr>
      <w:tr>
        <w:tc>
          <w:tcPr>
            <w:tcW w:type="dxa" w:w="25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Villes moyennes et grandes</w:t>
            </w:r>
          </w:p>
        </w:tc>
        <w:tc>
          <w:tcPr>
            <w:tcW w:type="dxa" w:w="23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Agglomérations sur nappe ou fleuve</w:t>
            </w:r>
          </w:p>
        </w:tc>
        <w:tc>
          <w:tcPr>
            <w:tcW w:type="dxa" w:w="24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Réseaux de froid par géocooling (modèle du réseau parisien)</w:t>
            </w:r>
          </w:p>
        </w:tc>
        <w:tc>
          <w:tcPr>
            <w:tcW w:type="dxa" w:w="24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Démonstrée — plus grand réseau de froid d'Europe à Paris</w:t>
            </w:r>
          </w:p>
        </w:tc>
      </w:tr>
      <w:tr>
        <w:tc>
          <w:tcPr>
            <w:tcW w:type="dxa" w:w="25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Habitat neuf et rénovation lourde</w:t>
            </w:r>
          </w:p>
        </w:tc>
        <w:tc>
          <w:tcPr>
            <w:tcW w:type="dxa" w:w="23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 350 000 logements neufs/an</w:t>
            </w:r>
          </w:p>
        </w:tc>
        <w:tc>
          <w:tcPr>
            <w:tcW w:type="dxa" w:w="24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Puits climatique + volume enterré intégrés à la construction</w:t>
            </w:r>
          </w:p>
        </w:tc>
        <w:tc>
          <w:tcPr>
            <w:tcW w:type="dxa" w:w="24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Immédiate — surcoût marginal à la construction</w:t>
            </w:r>
          </w:p>
        </w:tc>
      </w:tr>
    </w:tbl>
    <w:p>
      <w:pPr>
        <w:spacing w:after="100"/>
      </w:pPr>
    </w:p>
    <w:p>
      <w:pPr>
        <w:spacing w:after="80" w:before="200"/>
      </w:pPr>
      <w:r>
        <w:rPr>
          <w:rFonts w:ascii="Calibri" w:cs="Calibri" w:eastAsia="Calibri" w:hAnsi="Calibri"/>
          <w:b/>
          <w:bCs/>
          <w:color w:val="1F3864"/>
          <w:sz w:val="22"/>
          <w:szCs w:val="22"/>
        </w:rPr>
        <w:t xml:space="preserve">1.4 Positionnement face aux solutions concurrentes</w:t>
      </w:r>
    </w:p>
    <w:p>
      <w:pPr>
        <w:pStyle w:val="ListParagraph"/>
        <w:numPr>
          <w:ilvl w:val="0"/>
          <w:numId w:val="2"/>
        </w:numPr>
        <w:spacing w:after="60" w:line="248"/>
        <w:jc w:val="both"/>
      </w:pPr>
      <w:r>
        <w:rPr>
          <w:rFonts w:ascii="Calibri" w:cs="Calibri" w:eastAsia="Calibri" w:hAnsi="Calibri"/>
          <w:b/>
          <w:bCs/>
          <w:sz w:val="20"/>
          <w:szCs w:val="20"/>
        </w:rPr>
        <w:t xml:space="preserve">Climatisation individuelle : </w:t>
      </w:r>
      <w:r>
        <w:rPr>
          <w:rFonts w:ascii="Calibri" w:cs="Calibri" w:eastAsia="Calibri" w:hAnsi="Calibri"/>
          <w:sz w:val="20"/>
          <w:szCs w:val="20"/>
        </w:rPr>
        <w:t xml:space="preserve">coût d'achat faible mais coût complet élevé (électricité, entretien, remplacement tous les 10–15 ans), rejets thermiques urbains, inopérante en cas de coupure. Le passif ne la concurrence pas frontalement : il en supprime le besoin dans le neuf et la soulage dans l'existant.</w:t>
      </w:r>
    </w:p>
    <w:p>
      <w:pPr>
        <w:pStyle w:val="ListParagraph"/>
        <w:numPr>
          <w:ilvl w:val="0"/>
          <w:numId w:val="2"/>
        </w:numPr>
        <w:spacing w:after="60" w:line="248"/>
        <w:jc w:val="both"/>
      </w:pPr>
      <w:r>
        <w:rPr>
          <w:rFonts w:ascii="Calibri" w:cs="Calibri" w:eastAsia="Calibri" w:hAnsi="Calibri"/>
          <w:b/>
          <w:bCs/>
          <w:sz w:val="20"/>
          <w:szCs w:val="20"/>
        </w:rPr>
        <w:t xml:space="preserve">Brumisation et rafraîchissement adiabatique : </w:t>
      </w:r>
      <w:r>
        <w:rPr>
          <w:rFonts w:ascii="Calibri" w:cs="Calibri" w:eastAsia="Calibri" w:hAnsi="Calibri"/>
          <w:sz w:val="20"/>
          <w:szCs w:val="20"/>
        </w:rPr>
        <w:t xml:space="preserve">efficaces mais consommateurs d'eau, précisément la ressource sous tension en canicule.</w:t>
      </w:r>
    </w:p>
    <w:p>
      <w:pPr>
        <w:pStyle w:val="ListParagraph"/>
        <w:numPr>
          <w:ilvl w:val="0"/>
          <w:numId w:val="2"/>
        </w:numPr>
        <w:spacing w:after="60" w:line="248"/>
        <w:jc w:val="both"/>
      </w:pPr>
      <w:r>
        <w:rPr>
          <w:rFonts w:ascii="Calibri" w:cs="Calibri" w:eastAsia="Calibri" w:hAnsi="Calibri"/>
          <w:b/>
          <w:bCs/>
          <w:sz w:val="20"/>
          <w:szCs w:val="20"/>
        </w:rPr>
        <w:t xml:space="preserve">Végétalisation urbaine : </w:t>
      </w:r>
      <w:r>
        <w:rPr>
          <w:rFonts w:ascii="Calibri" w:cs="Calibri" w:eastAsia="Calibri" w:hAnsi="Calibri"/>
          <w:sz w:val="20"/>
          <w:szCs w:val="20"/>
        </w:rPr>
        <w:t xml:space="preserve">complémentaire et non concurrente — la butte végétalisée des ouvrages passifs y contribue directement.</w:t>
      </w:r>
    </w:p>
    <w:p>
      <w:pPr>
        <w:spacing w:after="100" w:line="252"/>
        <w:jc w:val="both"/>
      </w:pPr>
      <w:r>
        <w:rPr>
          <w:rFonts w:ascii="Calibri" w:cs="Calibri" w:eastAsia="Calibri" w:hAnsi="Calibri"/>
          <w:sz w:val="20"/>
          <w:szCs w:val="20"/>
        </w:rPr>
        <w:t xml:space="preserve">Le passif occupe ainsi un créneau sans concurrent direct : le froid garanti, sans électricité, sans eau, sans entretien, pour un siècle.</w:t>
      </w:r>
    </w:p>
    <w:p>
      <w:r>
        <w:br w:type="page"/>
      </w:r>
    </w:p>
    <w:p>
      <w:pPr>
        <w:pBdr>
          <w:bottom w:val="single" w:color="1F3864" w:sz="6" w:space="3"/>
        </w:pBdr>
        <w:spacing w:after="120" w:before="300"/>
      </w:pPr>
      <w:r>
        <w:rPr>
          <w:rFonts w:ascii="Calibri" w:cs="Calibri" w:eastAsia="Calibri" w:hAnsi="Calibri"/>
          <w:b/>
          <w:bCs/>
          <w:color w:val="1F3864"/>
          <w:sz w:val="27"/>
          <w:szCs w:val="27"/>
        </w:rPr>
        <w:t xml:space="preserve">PARTIE II — ÉTUDE FINANCIÈRE : PLAN DÉCENNAL 2027–2036</w:t>
      </w:r>
    </w:p>
    <w:p>
      <w:pPr>
        <w:spacing w:after="80" w:before="200"/>
      </w:pPr>
      <w:r>
        <w:rPr>
          <w:rFonts w:ascii="Calibri" w:cs="Calibri" w:eastAsia="Calibri" w:hAnsi="Calibri"/>
          <w:b/>
          <w:bCs/>
          <w:color w:val="1F3864"/>
          <w:sz w:val="22"/>
          <w:szCs w:val="22"/>
        </w:rPr>
        <w:t xml:space="preserve">2.1 Enveloppe et répartition de l'effort public</w:t>
      </w:r>
    </w:p>
    <w:p>
      <w:pPr>
        <w:spacing w:after="100" w:line="252"/>
        <w:jc w:val="both"/>
      </w:pPr>
      <w:r>
        <w:rPr>
          <w:rFonts w:ascii="Calibri" w:cs="Calibri" w:eastAsia="Calibri" w:hAnsi="Calibri"/>
          <w:sz w:val="20"/>
          <w:szCs w:val="20"/>
        </w:rPr>
        <w:t xml:space="preserve">L'enveloppe État proposée est de 5 milliards d'euros sur dix ans — soit 500 M€/an en moyenne, à comparer aux dizaines de milliards annuels des dispositifs de soutien à l'énergie. L'effet de levier des cofinancements (collectivités, opérateurs de réseaux, ménages) porte l'investissement total mobilisé à près de 10 Md€.</w:t>
      </w:r>
    </w:p>
    <w:tbl>
      <w:tblPr>
        <w:tblW w:type="dxa" w:w="9640"/>
        <w:tblBorders>
          <w:top w:val="single" w:color="8EAADB" w:sz="4"/>
          <w:left w:val="single" w:color="8EAADB" w:sz="4"/>
          <w:bottom w:val="single" w:color="8EAADB" w:sz="4"/>
          <w:right w:val="single" w:color="8EAADB" w:sz="4"/>
          <w:insideH w:val="single" w:color="B4C7E7" w:sz="2"/>
          <w:insideV w:val="single" w:color="B4C7E7" w:sz="2"/>
        </w:tblBorders>
      </w:tblPr>
      <w:tblGrid>
        <w:gridCol w:w="3800"/>
        <w:gridCol w:w="1500"/>
        <w:gridCol w:w="1500"/>
        <w:gridCol w:w="2840"/>
      </w:tblGrid>
      <w:tr>
        <w:tc>
          <w:tcPr>
            <w:tcW w:type="dxa" w:w="3800"/>
            <w:shd w:fill="DEE7F3" w:val="clear"/>
            <w:tcMar>
              <w:top w:type="dxa" w:w="40"/>
              <w:left w:type="dxa" w:w="100"/>
              <w:bottom w:type="dxa" w:w="40"/>
              <w:right w:type="dxa" w:w="100"/>
            </w:tcMar>
          </w:tcPr>
          <w:p>
            <w:pPr>
              <w:spacing w:after="0"/>
              <w:jc w:val="left"/>
            </w:pPr>
            <w:r>
              <w:rPr>
                <w:rFonts w:ascii="Calibri" w:cs="Calibri" w:eastAsia="Calibri" w:hAnsi="Calibri"/>
                <w:b/>
                <w:bCs/>
                <w:sz w:val="18"/>
                <w:szCs w:val="18"/>
              </w:rPr>
              <w:t xml:space="preserve">Poste (décennie 2027–2036)</w:t>
            </w:r>
          </w:p>
        </w:tc>
        <w:tc>
          <w:tcPr>
            <w:tcW w:type="dxa" w:w="1500"/>
            <w:shd w:fill="DEE7F3" w:val="clear"/>
            <w:tcMar>
              <w:top w:type="dxa" w:w="40"/>
              <w:left w:type="dxa" w:w="100"/>
              <w:bottom w:type="dxa" w:w="40"/>
              <w:right w:type="dxa" w:w="100"/>
            </w:tcMar>
          </w:tcPr>
          <w:p>
            <w:pPr>
              <w:spacing w:after="0"/>
              <w:jc w:val="left"/>
            </w:pPr>
            <w:r>
              <w:rPr>
                <w:rFonts w:ascii="Calibri" w:cs="Calibri" w:eastAsia="Calibri" w:hAnsi="Calibri"/>
                <w:b/>
                <w:bCs/>
                <w:sz w:val="18"/>
                <w:szCs w:val="18"/>
              </w:rPr>
              <w:t xml:space="preserve">Volume</w:t>
            </w:r>
          </w:p>
        </w:tc>
        <w:tc>
          <w:tcPr>
            <w:tcW w:type="dxa" w:w="1500"/>
            <w:shd w:fill="DEE7F3" w:val="clear"/>
            <w:tcMar>
              <w:top w:type="dxa" w:w="40"/>
              <w:left w:type="dxa" w:w="100"/>
              <w:bottom w:type="dxa" w:w="40"/>
              <w:right w:type="dxa" w:w="100"/>
            </w:tcMar>
          </w:tcPr>
          <w:p>
            <w:pPr>
              <w:spacing w:after="0"/>
              <w:jc w:val="left"/>
            </w:pPr>
            <w:r>
              <w:rPr>
                <w:rFonts w:ascii="Calibri" w:cs="Calibri" w:eastAsia="Calibri" w:hAnsi="Calibri"/>
                <w:b/>
                <w:bCs/>
                <w:sz w:val="18"/>
                <w:szCs w:val="18"/>
              </w:rPr>
              <w:t xml:space="preserve">Part État (Md€)</w:t>
            </w:r>
          </w:p>
        </w:tc>
        <w:tc>
          <w:tcPr>
            <w:tcW w:type="dxa" w:w="2840"/>
            <w:shd w:fill="DEE7F3" w:val="clear"/>
            <w:tcMar>
              <w:top w:type="dxa" w:w="40"/>
              <w:left w:type="dxa" w:w="100"/>
              <w:bottom w:type="dxa" w:w="40"/>
              <w:right w:type="dxa" w:w="100"/>
            </w:tcMar>
          </w:tcPr>
          <w:p>
            <w:pPr>
              <w:spacing w:after="0"/>
              <w:jc w:val="left"/>
            </w:pPr>
            <w:r>
              <w:rPr>
                <w:rFonts w:ascii="Calibri" w:cs="Calibri" w:eastAsia="Calibri" w:hAnsi="Calibri"/>
                <w:b/>
                <w:bCs/>
                <w:sz w:val="18"/>
                <w:szCs w:val="18"/>
              </w:rPr>
              <w:t xml:space="preserve">Investissement total mobilisé</w:t>
            </w:r>
          </w:p>
        </w:tc>
      </w:tr>
      <w:tr>
        <w:tc>
          <w:tcPr>
            <w:tcW w:type="dxa" w:w="38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Recensement patrimonial, ingénierie territoriale, AMO</w:t>
            </w:r>
          </w:p>
        </w:tc>
        <w:tc>
          <w:tcPr>
            <w:tcW w:type="dxa" w:w="15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Toutes régions</w:t>
            </w:r>
          </w:p>
        </w:tc>
        <w:tc>
          <w:tcPr>
            <w:tcW w:type="dxa" w:w="15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0,20</w:t>
            </w:r>
          </w:p>
        </w:tc>
        <w:tc>
          <w:tcPr>
            <w:tcW w:type="dxa" w:w="28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0,20 Md€</w:t>
            </w:r>
          </w:p>
        </w:tc>
      </w:tr>
      <w:tr>
        <w:tc>
          <w:tcPr>
            <w:tcW w:type="dxa" w:w="38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Refuges thermiques communaux</w:t>
            </w:r>
          </w:p>
        </w:tc>
        <w:tc>
          <w:tcPr>
            <w:tcW w:type="dxa" w:w="15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10 000 communes</w:t>
            </w:r>
          </w:p>
        </w:tc>
        <w:tc>
          <w:tcPr>
            <w:tcW w:type="dxa" w:w="15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0,40</w:t>
            </w:r>
          </w:p>
        </w:tc>
        <w:tc>
          <w:tcPr>
            <w:tcW w:type="dxa" w:w="28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0,55 Md€ (cofinancement communal)</w:t>
            </w:r>
          </w:p>
        </w:tc>
      </w:tr>
      <w:tr>
        <w:tc>
          <w:tcPr>
            <w:tcW w:type="dxa" w:w="38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Puits provençaux — bâtiments publics</w:t>
            </w:r>
          </w:p>
        </w:tc>
        <w:tc>
          <w:tcPr>
            <w:tcW w:type="dxa" w:w="15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15 000 bâtiments</w:t>
            </w:r>
          </w:p>
        </w:tc>
        <w:tc>
          <w:tcPr>
            <w:tcW w:type="dxa" w:w="15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0,25</w:t>
            </w:r>
          </w:p>
        </w:tc>
        <w:tc>
          <w:tcPr>
            <w:tcW w:type="dxa" w:w="28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0,42 Md€</w:t>
            </w:r>
          </w:p>
        </w:tc>
      </w:tr>
      <w:tr>
        <w:tc>
          <w:tcPr>
            <w:tcW w:type="dxa" w:w="38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Halles et marchés — stockage passif</w:t>
            </w:r>
          </w:p>
        </w:tc>
        <w:tc>
          <w:tcPr>
            <w:tcW w:type="dxa" w:w="15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2 000 halles</w:t>
            </w:r>
          </w:p>
        </w:tc>
        <w:tc>
          <w:tcPr>
            <w:tcW w:type="dxa" w:w="15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0,05</w:t>
            </w:r>
          </w:p>
        </w:tc>
        <w:tc>
          <w:tcPr>
            <w:tcW w:type="dxa" w:w="28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0,08 Md€</w:t>
            </w:r>
          </w:p>
        </w:tc>
      </w:tr>
      <w:tr>
        <w:tc>
          <w:tcPr>
            <w:tcW w:type="dxa" w:w="38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Réseaux de froid urbains par géocooling</w:t>
            </w:r>
          </w:p>
        </w:tc>
        <w:tc>
          <w:tcPr>
            <w:tcW w:type="dxa" w:w="15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 40 agglomérations</w:t>
            </w:r>
          </w:p>
        </w:tc>
        <w:tc>
          <w:tcPr>
            <w:tcW w:type="dxa" w:w="15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1,20</w:t>
            </w:r>
          </w:p>
        </w:tc>
        <w:tc>
          <w:tcPr>
            <w:tcW w:type="dxa" w:w="28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 4,0 Md€ (collectivités, opérateurs)</w:t>
            </w:r>
          </w:p>
        </w:tc>
      </w:tr>
      <w:tr>
        <w:tc>
          <w:tcPr>
            <w:tcW w:type="dxa" w:w="38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Prime « fraîcheur passive » habitat</w:t>
            </w:r>
          </w:p>
        </w:tc>
        <w:tc>
          <w:tcPr>
            <w:tcW w:type="dxa" w:w="15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 1 000 000 logements</w:t>
            </w:r>
          </w:p>
        </w:tc>
        <w:tc>
          <w:tcPr>
            <w:tcW w:type="dxa" w:w="15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2,30</w:t>
            </w:r>
          </w:p>
        </w:tc>
        <w:tc>
          <w:tcPr>
            <w:tcW w:type="dxa" w:w="28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 4,0 Md€ (ménages, bailleurs)</w:t>
            </w:r>
          </w:p>
        </w:tc>
      </w:tr>
      <w:tr>
        <w:tc>
          <w:tcPr>
            <w:tcW w:type="dxa" w:w="38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Formation de la filière (CFA, Compagnons)</w:t>
            </w:r>
          </w:p>
        </w:tc>
        <w:tc>
          <w:tcPr>
            <w:tcW w:type="dxa" w:w="15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 15 000 professionnels</w:t>
            </w:r>
          </w:p>
        </w:tc>
        <w:tc>
          <w:tcPr>
            <w:tcW w:type="dxa" w:w="15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0,10</w:t>
            </w:r>
          </w:p>
        </w:tc>
        <w:tc>
          <w:tcPr>
            <w:tcW w:type="dxa" w:w="28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0,10 Md€</w:t>
            </w:r>
          </w:p>
        </w:tc>
      </w:tr>
      <w:tr>
        <w:tc>
          <w:tcPr>
            <w:tcW w:type="dxa" w:w="38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Évaluation, R&amp;D, provision pour aléas</w:t>
            </w:r>
          </w:p>
        </w:tc>
        <w:tc>
          <w:tcPr>
            <w:tcW w:type="dxa" w:w="15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w:t>
            </w:r>
          </w:p>
        </w:tc>
        <w:tc>
          <w:tcPr>
            <w:tcW w:type="dxa" w:w="15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0,50</w:t>
            </w:r>
          </w:p>
        </w:tc>
        <w:tc>
          <w:tcPr>
            <w:tcW w:type="dxa" w:w="28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0,50 Md€</w:t>
            </w:r>
          </w:p>
        </w:tc>
      </w:tr>
      <w:tr>
        <w:tc>
          <w:tcPr>
            <w:tcW w:type="dxa" w:w="3800"/>
            <w:shd w:fill="DEE7F3" w:val="clear"/>
            <w:tcMar>
              <w:top w:type="dxa" w:w="40"/>
              <w:left w:type="dxa" w:w="100"/>
              <w:bottom w:type="dxa" w:w="40"/>
              <w:right w:type="dxa" w:w="100"/>
            </w:tcMar>
          </w:tcPr>
          <w:p>
            <w:pPr>
              <w:spacing w:after="0"/>
              <w:jc w:val="left"/>
            </w:pPr>
            <w:r>
              <w:rPr>
                <w:rFonts w:ascii="Calibri" w:cs="Calibri" w:eastAsia="Calibri" w:hAnsi="Calibri"/>
                <w:b/>
                <w:bCs/>
                <w:sz w:val="18"/>
                <w:szCs w:val="18"/>
              </w:rPr>
              <w:t xml:space="preserve">TOTAL</w:t>
            </w:r>
          </w:p>
        </w:tc>
        <w:tc>
          <w:tcPr>
            <w:tcW w:type="dxa" w:w="1500"/>
            <w:shd w:fill="DEE7F3" w:val="clear"/>
            <w:tcMar>
              <w:top w:type="dxa" w:w="40"/>
              <w:left w:type="dxa" w:w="100"/>
              <w:bottom w:type="dxa" w:w="40"/>
              <w:right w:type="dxa" w:w="100"/>
            </w:tcMar>
          </w:tcPr>
          <w:p>
            <w:pPr>
              <w:spacing w:after="0"/>
              <w:jc w:val="left"/>
            </w:pPr>
            <w:r>
              <w:rPr>
                <w:rFonts w:ascii="Calibri" w:cs="Calibri" w:eastAsia="Calibri" w:hAnsi="Calibri"/>
                <w:sz w:val="18"/>
                <w:szCs w:val="18"/>
              </w:rPr>
              <w:t xml:space="preserve"/>
            </w:r>
          </w:p>
        </w:tc>
        <w:tc>
          <w:tcPr>
            <w:tcW w:type="dxa" w:w="1500"/>
            <w:shd w:fill="DEE7F3" w:val="clear"/>
            <w:tcMar>
              <w:top w:type="dxa" w:w="40"/>
              <w:left w:type="dxa" w:w="100"/>
              <w:bottom w:type="dxa" w:w="40"/>
              <w:right w:type="dxa" w:w="100"/>
            </w:tcMar>
          </w:tcPr>
          <w:p>
            <w:pPr>
              <w:spacing w:after="0"/>
              <w:jc w:val="left"/>
            </w:pPr>
            <w:r>
              <w:rPr>
                <w:rFonts w:ascii="Calibri" w:cs="Calibri" w:eastAsia="Calibri" w:hAnsi="Calibri"/>
                <w:b/>
                <w:bCs/>
                <w:sz w:val="18"/>
                <w:szCs w:val="18"/>
              </w:rPr>
              <w:t xml:space="preserve">5,00</w:t>
            </w:r>
          </w:p>
        </w:tc>
        <w:tc>
          <w:tcPr>
            <w:tcW w:type="dxa" w:w="2840"/>
            <w:shd w:fill="DEE7F3" w:val="clear"/>
            <w:tcMar>
              <w:top w:type="dxa" w:w="40"/>
              <w:left w:type="dxa" w:w="100"/>
              <w:bottom w:type="dxa" w:w="40"/>
              <w:right w:type="dxa" w:w="100"/>
            </w:tcMar>
          </w:tcPr>
          <w:p>
            <w:pPr>
              <w:spacing w:after="0"/>
              <w:jc w:val="left"/>
            </w:pPr>
            <w:r>
              <w:rPr>
                <w:rFonts w:ascii="Calibri" w:cs="Calibri" w:eastAsia="Calibri" w:hAnsi="Calibri"/>
                <w:b/>
                <w:bCs/>
                <w:sz w:val="18"/>
                <w:szCs w:val="18"/>
              </w:rPr>
              <w:t xml:space="preserve">≈ 9,8 Md€</w:t>
            </w:r>
          </w:p>
        </w:tc>
      </w:tr>
    </w:tbl>
    <w:p>
      <w:pPr>
        <w:spacing w:after="100"/>
      </w:pPr>
    </w:p>
    <w:p>
      <w:pPr>
        <w:spacing w:after="80" w:before="200"/>
      </w:pPr>
      <w:r>
        <w:rPr>
          <w:rFonts w:ascii="Calibri" w:cs="Calibri" w:eastAsia="Calibri" w:hAnsi="Calibri"/>
          <w:b/>
          <w:bCs/>
          <w:color w:val="1F3864"/>
          <w:sz w:val="22"/>
          <w:szCs w:val="22"/>
        </w:rPr>
        <w:t xml:space="preserve">2.2 Trajectoire annuelle : investissement et économies</w:t>
      </w:r>
    </w:p>
    <w:p>
      <w:pPr>
        <w:spacing w:after="100" w:line="252"/>
        <w:jc w:val="both"/>
      </w:pPr>
      <w:r>
        <w:rPr>
          <w:rFonts w:ascii="Calibri" w:cs="Calibri" w:eastAsia="Calibri" w:hAnsi="Calibri"/>
          <w:sz w:val="20"/>
          <w:szCs w:val="20"/>
        </w:rPr>
        <w:t xml:space="preserve">La montée en charge est progressive (contrainte de filière), avec un pic d'engagement en milieu de décennie. Les économies indiquées ci-dessous sont les flux monétaires directs (énergie, capacité, budgets publics), hors co-bénéfices sanitaires.</w:t>
      </w:r>
    </w:p>
    <w:tbl>
      <w:tblPr>
        <w:tblW w:type="dxa" w:w="9640"/>
        <w:tblBorders>
          <w:top w:val="single" w:color="8EAADB" w:sz="4"/>
          <w:left w:val="single" w:color="8EAADB" w:sz="4"/>
          <w:bottom w:val="single" w:color="8EAADB" w:sz="4"/>
          <w:right w:val="single" w:color="8EAADB" w:sz="4"/>
          <w:insideH w:val="single" w:color="B4C7E7" w:sz="2"/>
          <w:insideV w:val="single" w:color="B4C7E7" w:sz="2"/>
        </w:tblBorders>
      </w:tblPr>
      <w:tblGrid>
        <w:gridCol w:w="900"/>
        <w:gridCol w:w="1500"/>
        <w:gridCol w:w="1800"/>
        <w:gridCol w:w="1700"/>
        <w:gridCol w:w="3740"/>
      </w:tblGrid>
      <w:tr>
        <w:tc>
          <w:tcPr>
            <w:tcW w:type="dxa" w:w="900"/>
            <w:shd w:fill="DEE7F3" w:val="clear"/>
            <w:tcMar>
              <w:top w:type="dxa" w:w="40"/>
              <w:left w:type="dxa" w:w="100"/>
              <w:bottom w:type="dxa" w:w="40"/>
              <w:right w:type="dxa" w:w="100"/>
            </w:tcMar>
          </w:tcPr>
          <w:p>
            <w:pPr>
              <w:spacing w:after="0"/>
              <w:jc w:val="left"/>
            </w:pPr>
            <w:r>
              <w:rPr>
                <w:rFonts w:ascii="Calibri" w:cs="Calibri" w:eastAsia="Calibri" w:hAnsi="Calibri"/>
                <w:b/>
                <w:bCs/>
                <w:sz w:val="18"/>
                <w:szCs w:val="18"/>
              </w:rPr>
              <w:t xml:space="preserve">Année</w:t>
            </w:r>
          </w:p>
        </w:tc>
        <w:tc>
          <w:tcPr>
            <w:tcW w:type="dxa" w:w="1500"/>
            <w:shd w:fill="DEE7F3" w:val="clear"/>
            <w:tcMar>
              <w:top w:type="dxa" w:w="40"/>
              <w:left w:type="dxa" w:w="100"/>
              <w:bottom w:type="dxa" w:w="40"/>
              <w:right w:type="dxa" w:w="100"/>
            </w:tcMar>
          </w:tcPr>
          <w:p>
            <w:pPr>
              <w:spacing w:after="0"/>
              <w:jc w:val="left"/>
            </w:pPr>
            <w:r>
              <w:rPr>
                <w:rFonts w:ascii="Calibri" w:cs="Calibri" w:eastAsia="Calibri" w:hAnsi="Calibri"/>
                <w:b/>
                <w:bCs/>
                <w:sz w:val="18"/>
                <w:szCs w:val="18"/>
              </w:rPr>
              <w:t xml:space="preserve">Invest. État (Md€)</w:t>
            </w:r>
          </w:p>
        </w:tc>
        <w:tc>
          <w:tcPr>
            <w:tcW w:type="dxa" w:w="1800"/>
            <w:shd w:fill="DEE7F3" w:val="clear"/>
            <w:tcMar>
              <w:top w:type="dxa" w:w="40"/>
              <w:left w:type="dxa" w:w="100"/>
              <w:bottom w:type="dxa" w:w="40"/>
              <w:right w:type="dxa" w:w="100"/>
            </w:tcMar>
          </w:tcPr>
          <w:p>
            <w:pPr>
              <w:spacing w:after="0"/>
              <w:jc w:val="left"/>
            </w:pPr>
            <w:r>
              <w:rPr>
                <w:rFonts w:ascii="Calibri" w:cs="Calibri" w:eastAsia="Calibri" w:hAnsi="Calibri"/>
                <w:b/>
                <w:bCs/>
                <w:sz w:val="18"/>
                <w:szCs w:val="18"/>
              </w:rPr>
              <w:t xml:space="preserve">Économies annuelles (M€/an)</w:t>
            </w:r>
          </w:p>
        </w:tc>
        <w:tc>
          <w:tcPr>
            <w:tcW w:type="dxa" w:w="1700"/>
            <w:shd w:fill="DEE7F3" w:val="clear"/>
            <w:tcMar>
              <w:top w:type="dxa" w:w="40"/>
              <w:left w:type="dxa" w:w="100"/>
              <w:bottom w:type="dxa" w:w="40"/>
              <w:right w:type="dxa" w:w="100"/>
            </w:tcMar>
          </w:tcPr>
          <w:p>
            <w:pPr>
              <w:spacing w:after="0"/>
              <w:jc w:val="left"/>
            </w:pPr>
            <w:r>
              <w:rPr>
                <w:rFonts w:ascii="Calibri" w:cs="Calibri" w:eastAsia="Calibri" w:hAnsi="Calibri"/>
                <w:b/>
                <w:bCs/>
                <w:sz w:val="18"/>
                <w:szCs w:val="18"/>
              </w:rPr>
              <w:t xml:space="preserve">Économies cumulées (Md€)</w:t>
            </w:r>
          </w:p>
        </w:tc>
        <w:tc>
          <w:tcPr>
            <w:tcW w:type="dxa" w:w="3740"/>
            <w:shd w:fill="DEE7F3" w:val="clear"/>
            <w:tcMar>
              <w:top w:type="dxa" w:w="40"/>
              <w:left w:type="dxa" w:w="100"/>
              <w:bottom w:type="dxa" w:w="40"/>
              <w:right w:type="dxa" w:w="100"/>
            </w:tcMar>
          </w:tcPr>
          <w:p>
            <w:pPr>
              <w:spacing w:after="0"/>
              <w:jc w:val="left"/>
            </w:pPr>
            <w:r>
              <w:rPr>
                <w:rFonts w:ascii="Calibri" w:cs="Calibri" w:eastAsia="Calibri" w:hAnsi="Calibri"/>
                <w:b/>
                <w:bCs/>
                <w:sz w:val="18"/>
                <w:szCs w:val="18"/>
              </w:rPr>
              <w:t xml:space="preserve">Jalons</w:t>
            </w:r>
          </w:p>
        </w:tc>
      </w:tr>
      <w:tr>
        <w:tc>
          <w:tcPr>
            <w:tcW w:type="dxa" w:w="9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2027</w:t>
            </w:r>
          </w:p>
        </w:tc>
        <w:tc>
          <w:tcPr>
            <w:tcW w:type="dxa" w:w="15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0,15</w:t>
            </w:r>
          </w:p>
        </w:tc>
        <w:tc>
          <w:tcPr>
            <w:tcW w:type="dxa" w:w="18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0</w:t>
            </w:r>
          </w:p>
        </w:tc>
        <w:tc>
          <w:tcPr>
            <w:tcW w:type="dxa" w:w="17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0,00</w:t>
            </w:r>
          </w:p>
        </w:tc>
        <w:tc>
          <w:tcPr>
            <w:tcW w:type="dxa" w:w="37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Recensement national, 1 000 communes pilotes, lancement formation</w:t>
            </w:r>
          </w:p>
        </w:tc>
      </w:tr>
      <w:tr>
        <w:tc>
          <w:tcPr>
            <w:tcW w:type="dxa" w:w="9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2028</w:t>
            </w:r>
          </w:p>
        </w:tc>
        <w:tc>
          <w:tcPr>
            <w:tcW w:type="dxa" w:w="15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0,30</w:t>
            </w:r>
          </w:p>
        </w:tc>
        <w:tc>
          <w:tcPr>
            <w:tcW w:type="dxa" w:w="18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20</w:t>
            </w:r>
          </w:p>
        </w:tc>
        <w:tc>
          <w:tcPr>
            <w:tcW w:type="dxa" w:w="17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0,02</w:t>
            </w:r>
          </w:p>
        </w:tc>
        <w:tc>
          <w:tcPr>
            <w:tcW w:type="dxa" w:w="37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Premiers refuges livrés, cadrage réglementaire (confort d'été)</w:t>
            </w:r>
          </w:p>
        </w:tc>
      </w:tr>
      <w:tr>
        <w:tc>
          <w:tcPr>
            <w:tcW w:type="dxa" w:w="9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2029</w:t>
            </w:r>
          </w:p>
        </w:tc>
        <w:tc>
          <w:tcPr>
            <w:tcW w:type="dxa" w:w="15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0,45</w:t>
            </w:r>
          </w:p>
        </w:tc>
        <w:tc>
          <w:tcPr>
            <w:tcW w:type="dxa" w:w="18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50</w:t>
            </w:r>
          </w:p>
        </w:tc>
        <w:tc>
          <w:tcPr>
            <w:tcW w:type="dxa" w:w="17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0,07</w:t>
            </w:r>
          </w:p>
        </w:tc>
        <w:tc>
          <w:tcPr>
            <w:tcW w:type="dxa" w:w="37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3 000 communes engagées, 5 premiers réseaux urbains en travaux</w:t>
            </w:r>
          </w:p>
        </w:tc>
      </w:tr>
      <w:tr>
        <w:tc>
          <w:tcPr>
            <w:tcW w:type="dxa" w:w="9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2030</w:t>
            </w:r>
          </w:p>
        </w:tc>
        <w:tc>
          <w:tcPr>
            <w:tcW w:type="dxa" w:w="15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0,55</w:t>
            </w:r>
          </w:p>
        </w:tc>
        <w:tc>
          <w:tcPr>
            <w:tcW w:type="dxa" w:w="18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100</w:t>
            </w:r>
          </w:p>
        </w:tc>
        <w:tc>
          <w:tcPr>
            <w:tcW w:type="dxa" w:w="17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0,17</w:t>
            </w:r>
          </w:p>
        </w:tc>
        <w:tc>
          <w:tcPr>
            <w:tcW w:type="dxa" w:w="37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Prime habitat en régime de croisière (100 000 logements/an)</w:t>
            </w:r>
          </w:p>
        </w:tc>
      </w:tr>
      <w:tr>
        <w:tc>
          <w:tcPr>
            <w:tcW w:type="dxa" w:w="9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2031</w:t>
            </w:r>
          </w:p>
        </w:tc>
        <w:tc>
          <w:tcPr>
            <w:tcW w:type="dxa" w:w="15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0,65</w:t>
            </w:r>
          </w:p>
        </w:tc>
        <w:tc>
          <w:tcPr>
            <w:tcW w:type="dxa" w:w="18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150</w:t>
            </w:r>
          </w:p>
        </w:tc>
        <w:tc>
          <w:tcPr>
            <w:tcW w:type="dxa" w:w="17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0,32</w:t>
            </w:r>
          </w:p>
        </w:tc>
        <w:tc>
          <w:tcPr>
            <w:tcW w:type="dxa" w:w="37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Bilan de mi-parcours, ajustement des barèmes</w:t>
            </w:r>
          </w:p>
        </w:tc>
      </w:tr>
      <w:tr>
        <w:tc>
          <w:tcPr>
            <w:tcW w:type="dxa" w:w="9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2032</w:t>
            </w:r>
          </w:p>
        </w:tc>
        <w:tc>
          <w:tcPr>
            <w:tcW w:type="dxa" w:w="15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0,65</w:t>
            </w:r>
          </w:p>
        </w:tc>
        <w:tc>
          <w:tcPr>
            <w:tcW w:type="dxa" w:w="18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210</w:t>
            </w:r>
          </w:p>
        </w:tc>
        <w:tc>
          <w:tcPr>
            <w:tcW w:type="dxa" w:w="17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0,53</w:t>
            </w:r>
          </w:p>
        </w:tc>
        <w:tc>
          <w:tcPr>
            <w:tcW w:type="dxa" w:w="37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15 réseaux urbains en service</w:t>
            </w:r>
          </w:p>
        </w:tc>
      </w:tr>
      <w:tr>
        <w:tc>
          <w:tcPr>
            <w:tcW w:type="dxa" w:w="9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2033</w:t>
            </w:r>
          </w:p>
        </w:tc>
        <w:tc>
          <w:tcPr>
            <w:tcW w:type="dxa" w:w="15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0,65</w:t>
            </w:r>
          </w:p>
        </w:tc>
        <w:tc>
          <w:tcPr>
            <w:tcW w:type="dxa" w:w="18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260</w:t>
            </w:r>
          </w:p>
        </w:tc>
        <w:tc>
          <w:tcPr>
            <w:tcW w:type="dxa" w:w="17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0,79</w:t>
            </w:r>
          </w:p>
        </w:tc>
        <w:tc>
          <w:tcPr>
            <w:tcW w:type="dxa" w:w="37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7 000 refuges communaux ouverts</w:t>
            </w:r>
          </w:p>
        </w:tc>
      </w:tr>
      <w:tr>
        <w:tc>
          <w:tcPr>
            <w:tcW w:type="dxa" w:w="9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2034</w:t>
            </w:r>
          </w:p>
        </w:tc>
        <w:tc>
          <w:tcPr>
            <w:tcW w:type="dxa" w:w="15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0,60</w:t>
            </w:r>
          </w:p>
        </w:tc>
        <w:tc>
          <w:tcPr>
            <w:tcW w:type="dxa" w:w="18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310</w:t>
            </w:r>
          </w:p>
        </w:tc>
        <w:tc>
          <w:tcPr>
            <w:tcW w:type="dxa" w:w="17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1,10</w:t>
            </w:r>
          </w:p>
        </w:tc>
        <w:tc>
          <w:tcPr>
            <w:tcW w:type="dxa" w:w="37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Couverture de tous les bassins de vie prioritaires</w:t>
            </w:r>
          </w:p>
        </w:tc>
      </w:tr>
      <w:tr>
        <w:tc>
          <w:tcPr>
            <w:tcW w:type="dxa" w:w="9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2035</w:t>
            </w:r>
          </w:p>
        </w:tc>
        <w:tc>
          <w:tcPr>
            <w:tcW w:type="dxa" w:w="15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0,50</w:t>
            </w:r>
          </w:p>
        </w:tc>
        <w:tc>
          <w:tcPr>
            <w:tcW w:type="dxa" w:w="18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350</w:t>
            </w:r>
          </w:p>
        </w:tc>
        <w:tc>
          <w:tcPr>
            <w:tcW w:type="dxa" w:w="17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1,45</w:t>
            </w:r>
          </w:p>
        </w:tc>
        <w:tc>
          <w:tcPr>
            <w:tcW w:type="dxa" w:w="37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Filière autonome, coûts unitaires en baisse (effet série)</w:t>
            </w:r>
          </w:p>
        </w:tc>
      </w:tr>
      <w:tr>
        <w:tc>
          <w:tcPr>
            <w:tcW w:type="dxa" w:w="9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2036</w:t>
            </w:r>
          </w:p>
        </w:tc>
        <w:tc>
          <w:tcPr>
            <w:tcW w:type="dxa" w:w="15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0,50</w:t>
            </w:r>
          </w:p>
        </w:tc>
        <w:tc>
          <w:tcPr>
            <w:tcW w:type="dxa" w:w="18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370</w:t>
            </w:r>
          </w:p>
        </w:tc>
        <w:tc>
          <w:tcPr>
            <w:tcW w:type="dxa" w:w="17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1,82</w:t>
            </w:r>
          </w:p>
        </w:tc>
        <w:tc>
          <w:tcPr>
            <w:tcW w:type="dxa" w:w="37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10 000 refuges, 40 réseaux, 1 M de logements équipés</w:t>
            </w:r>
          </w:p>
        </w:tc>
      </w:tr>
      <w:tr>
        <w:tc>
          <w:tcPr>
            <w:tcW w:type="dxa" w:w="900"/>
            <w:shd w:fill="DEE7F3" w:val="clear"/>
            <w:tcMar>
              <w:top w:type="dxa" w:w="40"/>
              <w:left w:type="dxa" w:w="100"/>
              <w:bottom w:type="dxa" w:w="40"/>
              <w:right w:type="dxa" w:w="100"/>
            </w:tcMar>
          </w:tcPr>
          <w:p>
            <w:pPr>
              <w:spacing w:after="0"/>
              <w:jc w:val="left"/>
            </w:pPr>
            <w:r>
              <w:rPr>
                <w:rFonts w:ascii="Calibri" w:cs="Calibri" w:eastAsia="Calibri" w:hAnsi="Calibri"/>
                <w:b/>
                <w:bCs/>
                <w:sz w:val="18"/>
                <w:szCs w:val="18"/>
              </w:rPr>
              <w:t xml:space="preserve">Total</w:t>
            </w:r>
          </w:p>
        </w:tc>
        <w:tc>
          <w:tcPr>
            <w:tcW w:type="dxa" w:w="1500"/>
            <w:shd w:fill="DEE7F3" w:val="clear"/>
            <w:tcMar>
              <w:top w:type="dxa" w:w="40"/>
              <w:left w:type="dxa" w:w="100"/>
              <w:bottom w:type="dxa" w:w="40"/>
              <w:right w:type="dxa" w:w="100"/>
            </w:tcMar>
          </w:tcPr>
          <w:p>
            <w:pPr>
              <w:spacing w:after="0"/>
              <w:jc w:val="left"/>
            </w:pPr>
            <w:r>
              <w:rPr>
                <w:rFonts w:ascii="Calibri" w:cs="Calibri" w:eastAsia="Calibri" w:hAnsi="Calibri"/>
                <w:b/>
                <w:bCs/>
                <w:sz w:val="18"/>
                <w:szCs w:val="18"/>
              </w:rPr>
              <w:t xml:space="preserve">5,00</w:t>
            </w:r>
          </w:p>
        </w:tc>
        <w:tc>
          <w:tcPr>
            <w:tcW w:type="dxa" w:w="1800"/>
            <w:shd w:fill="DEE7F3" w:val="clear"/>
            <w:tcMar>
              <w:top w:type="dxa" w:w="40"/>
              <w:left w:type="dxa" w:w="100"/>
              <w:bottom w:type="dxa" w:w="40"/>
              <w:right w:type="dxa" w:w="100"/>
            </w:tcMar>
          </w:tcPr>
          <w:p>
            <w:pPr>
              <w:spacing w:after="0"/>
              <w:jc w:val="left"/>
            </w:pPr>
            <w:r>
              <w:rPr>
                <w:rFonts w:ascii="Calibri" w:cs="Calibri" w:eastAsia="Calibri" w:hAnsi="Calibri"/>
                <w:b/>
                <w:bCs/>
                <w:sz w:val="18"/>
                <w:szCs w:val="18"/>
              </w:rPr>
              <w:t xml:space="preserve">370 M€/an pérennes</w:t>
            </w:r>
          </w:p>
        </w:tc>
        <w:tc>
          <w:tcPr>
            <w:tcW w:type="dxa" w:w="1700"/>
            <w:shd w:fill="DEE7F3" w:val="clear"/>
            <w:tcMar>
              <w:top w:type="dxa" w:w="40"/>
              <w:left w:type="dxa" w:w="100"/>
              <w:bottom w:type="dxa" w:w="40"/>
              <w:right w:type="dxa" w:w="100"/>
            </w:tcMar>
          </w:tcPr>
          <w:p>
            <w:pPr>
              <w:spacing w:after="0"/>
              <w:jc w:val="left"/>
            </w:pPr>
            <w:r>
              <w:rPr>
                <w:rFonts w:ascii="Calibri" w:cs="Calibri" w:eastAsia="Calibri" w:hAnsi="Calibri"/>
                <w:b/>
                <w:bCs/>
                <w:sz w:val="18"/>
                <w:szCs w:val="18"/>
              </w:rPr>
              <w:t xml:space="preserve">1,82</w:t>
            </w:r>
          </w:p>
        </w:tc>
        <w:tc>
          <w:tcPr>
            <w:tcW w:type="dxa" w:w="3740"/>
            <w:shd w:fill="DEE7F3" w:val="clear"/>
            <w:tcMar>
              <w:top w:type="dxa" w:w="40"/>
              <w:left w:type="dxa" w:w="100"/>
              <w:bottom w:type="dxa" w:w="40"/>
              <w:right w:type="dxa" w:w="100"/>
            </w:tcMar>
          </w:tcPr>
          <w:p>
            <w:pPr>
              <w:spacing w:after="0"/>
              <w:jc w:val="left"/>
            </w:pPr>
            <w:r>
              <w:rPr>
                <w:rFonts w:ascii="Calibri" w:cs="Calibri" w:eastAsia="Calibri" w:hAnsi="Calibri"/>
                <w:sz w:val="18"/>
                <w:szCs w:val="18"/>
              </w:rPr>
              <w:t xml:space="preserve">Ouvrages en service pour un siècle</w:t>
            </w:r>
          </w:p>
        </w:tc>
      </w:tr>
    </w:tbl>
    <w:p>
      <w:pPr>
        <w:spacing w:after="100"/>
      </w:pPr>
    </w:p>
    <w:p>
      <w:pPr>
        <w:spacing w:after="80" w:before="200"/>
      </w:pPr>
      <w:r>
        <w:rPr>
          <w:rFonts w:ascii="Calibri" w:cs="Calibri" w:eastAsia="Calibri" w:hAnsi="Calibri"/>
          <w:b/>
          <w:bCs/>
          <w:color w:val="1F3864"/>
          <w:sz w:val="22"/>
          <w:szCs w:val="22"/>
        </w:rPr>
        <w:t xml:space="preserve">2.3 Rentabilité : lecture honnête</w:t>
      </w:r>
    </w:p>
    <w:p>
      <w:pPr>
        <w:spacing w:after="100" w:line="252"/>
        <w:jc w:val="both"/>
      </w:pPr>
      <w:r>
        <w:rPr>
          <w:rFonts w:ascii="Calibri" w:cs="Calibri" w:eastAsia="Calibri" w:hAnsi="Calibri"/>
          <w:sz w:val="20"/>
          <w:szCs w:val="20"/>
        </w:rPr>
        <w:t xml:space="preserve">Sur les seuls flux énergétiques et budgétaires directs (≈ 370 M€/an pérennes en régime établi), l'investissement public de 5 Md€ se rembourse en 13 à 14 ans après la fin du programme — soit un horizon complet d'environ 20 à 25 ans. C'est plus long qu'un projet privé classique, et il faut le dire.</w:t>
      </w:r>
    </w:p>
    <w:p>
      <w:pPr>
        <w:spacing w:after="100" w:line="252"/>
        <w:jc w:val="both"/>
      </w:pPr>
      <w:r>
        <w:rPr>
          <w:rFonts w:ascii="Calibri" w:cs="Calibri" w:eastAsia="Calibri" w:hAnsi="Calibri"/>
          <w:sz w:val="20"/>
          <w:szCs w:val="20"/>
        </w:rPr>
        <w:t xml:space="preserve">Mais cette lecture omet trois éléments décisifs. </w:t>
      </w:r>
      <w:r>
        <w:rPr>
          <w:rFonts w:ascii="Calibri" w:cs="Calibri" w:eastAsia="Calibri" w:hAnsi="Calibri"/>
          <w:b/>
          <w:bCs/>
          <w:sz w:val="20"/>
          <w:szCs w:val="20"/>
        </w:rPr>
        <w:t xml:space="preserve">La durée de vie : </w:t>
      </w:r>
      <w:r>
        <w:rPr>
          <w:rFonts w:ascii="Calibri" w:cs="Calibri" w:eastAsia="Calibri" w:hAnsi="Calibri"/>
          <w:sz w:val="20"/>
          <w:szCs w:val="20"/>
        </w:rPr>
        <w:t xml:space="preserve">les ouvrages passifs durent un siècle sans renouvellement, quand toute solution active se rachète tous les 10 à 15 ans — sur 50 ans, le passif est imbattable en coût complet. </w:t>
      </w:r>
      <w:r>
        <w:rPr>
          <w:rFonts w:ascii="Calibri" w:cs="Calibri" w:eastAsia="Calibri" w:hAnsi="Calibri"/>
          <w:b/>
          <w:bCs/>
          <w:sz w:val="20"/>
          <w:szCs w:val="20"/>
        </w:rPr>
        <w:t xml:space="preserve">Les co-bénéfices : </w:t>
      </w:r>
      <w:r>
        <w:rPr>
          <w:rFonts w:ascii="Calibri" w:cs="Calibri" w:eastAsia="Calibri" w:hAnsi="Calibri"/>
          <w:sz w:val="20"/>
          <w:szCs w:val="20"/>
        </w:rPr>
        <w:t xml:space="preserve">en intégrant la valorisation socio-économique de la santé (méthode tutélaire officielle du Commissariat général à la stratégie) et la balance commerciale, le flux annuel total atteint 620 à 920 M€/an et le retour tombe entre 8 et 12 ans. </w:t>
      </w:r>
      <w:r>
        <w:rPr>
          <w:rFonts w:ascii="Calibri" w:cs="Calibri" w:eastAsia="Calibri" w:hAnsi="Calibri"/>
          <w:b/>
          <w:bCs/>
          <w:sz w:val="20"/>
          <w:szCs w:val="20"/>
        </w:rPr>
        <w:t xml:space="preserve">La valeur d'option : </w:t>
      </w:r>
      <w:r>
        <w:rPr>
          <w:rFonts w:ascii="Calibri" w:cs="Calibri" w:eastAsia="Calibri" w:hAnsi="Calibri"/>
          <w:sz w:val="20"/>
          <w:szCs w:val="20"/>
        </w:rPr>
        <w:t xml:space="preserve">un réseau de refuges fonctionnels pendant un blackout n'a pas d'équivalent marchand — c'est une assurance nationale dont la prime est ici l'investissement lui-même.</w:t>
      </w:r>
    </w:p>
    <w:tbl>
      <w:tblPr>
        <w:tblW w:type="dxa" w:w="9640"/>
        <w:tblBorders>
          <w:top w:val="single" w:color="8EAADB" w:sz="4"/>
          <w:left w:val="single" w:color="8EAADB" w:sz="4"/>
          <w:bottom w:val="single" w:color="8EAADB" w:sz="4"/>
          <w:right w:val="single" w:color="8EAADB" w:sz="4"/>
          <w:insideH w:val="single" w:color="B4C7E7" w:sz="2"/>
          <w:insideV w:val="single" w:color="B4C7E7" w:sz="2"/>
        </w:tblBorders>
      </w:tblPr>
      <w:tblGrid>
        <w:gridCol w:w="4600"/>
        <w:gridCol w:w="2200"/>
        <w:gridCol w:w="2840"/>
      </w:tblGrid>
      <w:tr>
        <w:tc>
          <w:tcPr>
            <w:tcW w:type="dxa" w:w="4600"/>
            <w:shd w:fill="DEE7F3" w:val="clear"/>
            <w:tcMar>
              <w:top w:type="dxa" w:w="40"/>
              <w:left w:type="dxa" w:w="100"/>
              <w:bottom w:type="dxa" w:w="40"/>
              <w:right w:type="dxa" w:w="100"/>
            </w:tcMar>
          </w:tcPr>
          <w:p>
            <w:pPr>
              <w:spacing w:after="0"/>
              <w:jc w:val="left"/>
            </w:pPr>
            <w:r>
              <w:rPr>
                <w:rFonts w:ascii="Calibri" w:cs="Calibri" w:eastAsia="Calibri" w:hAnsi="Calibri"/>
                <w:b/>
                <w:bCs/>
                <w:sz w:val="18"/>
                <w:szCs w:val="18"/>
              </w:rPr>
              <w:t xml:space="preserve">Flux annuel en régime établi (à partir de 2036)</w:t>
            </w:r>
          </w:p>
        </w:tc>
        <w:tc>
          <w:tcPr>
            <w:tcW w:type="dxa" w:w="2200"/>
            <w:shd w:fill="DEE7F3" w:val="clear"/>
            <w:tcMar>
              <w:top w:type="dxa" w:w="40"/>
              <w:left w:type="dxa" w:w="100"/>
              <w:bottom w:type="dxa" w:w="40"/>
              <w:right w:type="dxa" w:w="100"/>
            </w:tcMar>
          </w:tcPr>
          <w:p>
            <w:pPr>
              <w:spacing w:after="0"/>
              <w:jc w:val="left"/>
            </w:pPr>
            <w:r>
              <w:rPr>
                <w:rFonts w:ascii="Calibri" w:cs="Calibri" w:eastAsia="Calibri" w:hAnsi="Calibri"/>
                <w:b/>
                <w:bCs/>
                <w:sz w:val="18"/>
                <w:szCs w:val="18"/>
              </w:rPr>
              <w:t xml:space="preserve">Montant (M€/an)</w:t>
            </w:r>
          </w:p>
        </w:tc>
        <w:tc>
          <w:tcPr>
            <w:tcW w:type="dxa" w:w="2840"/>
            <w:shd w:fill="DEE7F3" w:val="clear"/>
            <w:tcMar>
              <w:top w:type="dxa" w:w="40"/>
              <w:left w:type="dxa" w:w="100"/>
              <w:bottom w:type="dxa" w:w="40"/>
              <w:right w:type="dxa" w:w="100"/>
            </w:tcMar>
          </w:tcPr>
          <w:p>
            <w:pPr>
              <w:spacing w:after="0"/>
              <w:jc w:val="left"/>
            </w:pPr>
            <w:r>
              <w:rPr>
                <w:rFonts w:ascii="Calibri" w:cs="Calibri" w:eastAsia="Calibri" w:hAnsi="Calibri"/>
                <w:b/>
                <w:bCs/>
                <w:sz w:val="18"/>
                <w:szCs w:val="18"/>
              </w:rPr>
              <w:t xml:space="preserve">Nature</w:t>
            </w:r>
          </w:p>
        </w:tc>
      </w:tr>
      <w:tr>
        <w:tc>
          <w:tcPr>
            <w:tcW w:type="dxa" w:w="46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Électricité évitée — habitat (1 M logements)</w:t>
            </w:r>
          </w:p>
        </w:tc>
        <w:tc>
          <w:tcPr>
            <w:tcW w:type="dxa" w:w="22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 150</w:t>
            </w:r>
          </w:p>
        </w:tc>
        <w:tc>
          <w:tcPr>
            <w:tcW w:type="dxa" w:w="28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Économie privée (ménages)</w:t>
            </w:r>
          </w:p>
        </w:tc>
      </w:tr>
      <w:tr>
        <w:tc>
          <w:tcPr>
            <w:tcW w:type="dxa" w:w="46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Réseaux de froid vs climatisation individuelle</w:t>
            </w:r>
          </w:p>
        </w:tc>
        <w:tc>
          <w:tcPr>
            <w:tcW w:type="dxa" w:w="22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 60</w:t>
            </w:r>
          </w:p>
        </w:tc>
        <w:tc>
          <w:tcPr>
            <w:tcW w:type="dxa" w:w="28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Économie privée (abonnés)</w:t>
            </w:r>
          </w:p>
        </w:tc>
      </w:tr>
      <w:tr>
        <w:tc>
          <w:tcPr>
            <w:tcW w:type="dxa" w:w="46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Bâtiments publics (15 000 sites)</w:t>
            </w:r>
          </w:p>
        </w:tc>
        <w:tc>
          <w:tcPr>
            <w:tcW w:type="dxa" w:w="22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 45</w:t>
            </w:r>
          </w:p>
        </w:tc>
        <w:tc>
          <w:tcPr>
            <w:tcW w:type="dxa" w:w="28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Économie budgétaire directe (collectivités)</w:t>
            </w:r>
          </w:p>
        </w:tc>
      </w:tr>
      <w:tr>
        <w:tc>
          <w:tcPr>
            <w:tcW w:type="dxa" w:w="46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Refuges et halles (12 000 ouvrages)</w:t>
            </w:r>
          </w:p>
        </w:tc>
        <w:tc>
          <w:tcPr>
            <w:tcW w:type="dxa" w:w="22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 25</w:t>
            </w:r>
          </w:p>
        </w:tc>
        <w:tc>
          <w:tcPr>
            <w:tcW w:type="dxa" w:w="28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Économie budgétaire et commerçants</w:t>
            </w:r>
          </w:p>
        </w:tc>
      </w:tr>
      <w:tr>
        <w:tc>
          <w:tcPr>
            <w:tcW w:type="dxa" w:w="46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Pointe électrique évitée (≈ 1,5 GW valorisés)</w:t>
            </w:r>
          </w:p>
        </w:tc>
        <w:tc>
          <w:tcPr>
            <w:tcW w:type="dxa" w:w="22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 90</w:t>
            </w:r>
          </w:p>
        </w:tc>
        <w:tc>
          <w:tcPr>
            <w:tcW w:type="dxa" w:w="28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Valeur capacitaire pour le système électrique</w:t>
            </w:r>
          </w:p>
        </w:tc>
      </w:tr>
      <w:tr>
        <w:tc>
          <w:tcPr>
            <w:tcW w:type="dxa" w:w="46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Importations de climatiseurs évitées</w:t>
            </w:r>
          </w:p>
        </w:tc>
        <w:tc>
          <w:tcPr>
            <w:tcW w:type="dxa" w:w="22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 100</w:t>
            </w:r>
          </w:p>
        </w:tc>
        <w:tc>
          <w:tcPr>
            <w:tcW w:type="dxa" w:w="28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Balance commerciale</w:t>
            </w:r>
          </w:p>
        </w:tc>
      </w:tr>
      <w:tr>
        <w:tc>
          <w:tcPr>
            <w:tcW w:type="dxa" w:w="46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Co-bénéfices sanitaires (mortalité et hospitalisations évitées, valorisation tutélaire)</w:t>
            </w:r>
          </w:p>
        </w:tc>
        <w:tc>
          <w:tcPr>
            <w:tcW w:type="dxa" w:w="22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150 à 450 selon l'intensité des étés</w:t>
            </w:r>
          </w:p>
        </w:tc>
        <w:tc>
          <w:tcPr>
            <w:tcW w:type="dxa" w:w="28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Valeur socio-économique</w:t>
            </w:r>
          </w:p>
        </w:tc>
      </w:tr>
      <w:tr>
        <w:tc>
          <w:tcPr>
            <w:tcW w:type="dxa" w:w="4600"/>
            <w:shd w:fill="DEE7F3" w:val="clear"/>
            <w:tcMar>
              <w:top w:type="dxa" w:w="40"/>
              <w:left w:type="dxa" w:w="100"/>
              <w:bottom w:type="dxa" w:w="40"/>
              <w:right w:type="dxa" w:w="100"/>
            </w:tcMar>
          </w:tcPr>
          <w:p>
            <w:pPr>
              <w:spacing w:after="0"/>
              <w:jc w:val="left"/>
            </w:pPr>
            <w:r>
              <w:rPr>
                <w:rFonts w:ascii="Calibri" w:cs="Calibri" w:eastAsia="Calibri" w:hAnsi="Calibri"/>
                <w:b/>
                <w:bCs/>
                <w:sz w:val="18"/>
                <w:szCs w:val="18"/>
              </w:rPr>
              <w:t xml:space="preserve">Total socio-économique annuel</w:t>
            </w:r>
          </w:p>
        </w:tc>
        <w:tc>
          <w:tcPr>
            <w:tcW w:type="dxa" w:w="2200"/>
            <w:shd w:fill="DEE7F3" w:val="clear"/>
            <w:tcMar>
              <w:top w:type="dxa" w:w="40"/>
              <w:left w:type="dxa" w:w="100"/>
              <w:bottom w:type="dxa" w:w="40"/>
              <w:right w:type="dxa" w:w="100"/>
            </w:tcMar>
          </w:tcPr>
          <w:p>
            <w:pPr>
              <w:spacing w:after="0"/>
              <w:jc w:val="left"/>
            </w:pPr>
            <w:r>
              <w:rPr>
                <w:rFonts w:ascii="Calibri" w:cs="Calibri" w:eastAsia="Calibri" w:hAnsi="Calibri"/>
                <w:b/>
                <w:bCs/>
                <w:sz w:val="18"/>
                <w:szCs w:val="18"/>
              </w:rPr>
              <w:t xml:space="preserve">≈ 620 à 920</w:t>
            </w:r>
          </w:p>
        </w:tc>
        <w:tc>
          <w:tcPr>
            <w:tcW w:type="dxa" w:w="2840"/>
            <w:shd w:fill="DEE7F3" w:val="clear"/>
            <w:tcMar>
              <w:top w:type="dxa" w:w="40"/>
              <w:left w:type="dxa" w:w="100"/>
              <w:bottom w:type="dxa" w:w="40"/>
              <w:right w:type="dxa" w:w="100"/>
            </w:tcMar>
          </w:tcPr>
          <w:p>
            <w:pPr>
              <w:spacing w:after="0"/>
              <w:jc w:val="left"/>
            </w:pPr>
            <w:r>
              <w:rPr>
                <w:rFonts w:ascii="Calibri" w:cs="Calibri" w:eastAsia="Calibri" w:hAnsi="Calibri"/>
                <w:sz w:val="18"/>
                <w:szCs w:val="18"/>
              </w:rPr>
              <w:t xml:space="preserve"/>
            </w:r>
          </w:p>
        </w:tc>
      </w:tr>
    </w:tbl>
    <w:p>
      <w:pPr>
        <w:spacing w:after="100"/>
      </w:pPr>
    </w:p>
    <w:p>
      <w:pPr>
        <w:spacing w:after="100" w:line="252"/>
        <w:jc w:val="both"/>
      </w:pPr>
      <w:r>
        <w:rPr>
          <w:rFonts w:ascii="Calibri" w:cs="Calibri" w:eastAsia="Calibri" w:hAnsi="Calibri"/>
          <w:sz w:val="20"/>
          <w:szCs w:val="20"/>
        </w:rPr>
        <w:t xml:space="preserve">Taux de rentabilité socio-économique estimé : 7 à 10 % — supérieur au taux d'actualisation public de référence. La valeur actuelle nette sur 30 ans est nettement positive dans tous les scénarios, y compris le plus prudent (co-bénéfices santé au plancher, dérive des coûts de +20 %).</w:t>
      </w:r>
    </w:p>
    <w:p>
      <w:r>
        <w:br w:type="page"/>
      </w:r>
    </w:p>
    <w:p>
      <w:pPr>
        <w:pBdr>
          <w:bottom w:val="single" w:color="1F3864" w:sz="6" w:space="3"/>
        </w:pBdr>
        <w:spacing w:after="120" w:before="300"/>
      </w:pPr>
      <w:r>
        <w:rPr>
          <w:rFonts w:ascii="Calibri" w:cs="Calibri" w:eastAsia="Calibri" w:hAnsi="Calibri"/>
          <w:b/>
          <w:bCs/>
          <w:color w:val="1F3864"/>
          <w:sz w:val="27"/>
          <w:szCs w:val="27"/>
        </w:rPr>
        <w:t xml:space="preserve">PARTIE III — ÉTUDE D'IMPACT</w:t>
      </w:r>
    </w:p>
    <w:p>
      <w:pPr>
        <w:spacing w:after="80" w:before="200"/>
      </w:pPr>
      <w:r>
        <w:rPr>
          <w:rFonts w:ascii="Calibri" w:cs="Calibri" w:eastAsia="Calibri" w:hAnsi="Calibri"/>
          <w:b/>
          <w:bCs/>
          <w:color w:val="1F3864"/>
          <w:sz w:val="22"/>
          <w:szCs w:val="22"/>
        </w:rPr>
        <w:t xml:space="preserve">3.1 Impacts par dimension</w:t>
      </w:r>
    </w:p>
    <w:tbl>
      <w:tblPr>
        <w:tblW w:type="dxa" w:w="9640"/>
        <w:tblBorders>
          <w:top w:val="single" w:color="8EAADB" w:sz="4"/>
          <w:left w:val="single" w:color="8EAADB" w:sz="4"/>
          <w:bottom w:val="single" w:color="8EAADB" w:sz="4"/>
          <w:right w:val="single" w:color="8EAADB" w:sz="4"/>
          <w:insideH w:val="single" w:color="B4C7E7" w:sz="2"/>
          <w:insideV w:val="single" w:color="B4C7E7" w:sz="2"/>
        </w:tblBorders>
      </w:tblPr>
      <w:tblGrid>
        <w:gridCol w:w="2300"/>
        <w:gridCol w:w="7340"/>
      </w:tblGrid>
      <w:tr>
        <w:tc>
          <w:tcPr>
            <w:tcW w:type="dxa" w:w="2300"/>
            <w:shd w:fill="DEE7F3" w:val="clear"/>
            <w:tcMar>
              <w:top w:type="dxa" w:w="40"/>
              <w:left w:type="dxa" w:w="100"/>
              <w:bottom w:type="dxa" w:w="40"/>
              <w:right w:type="dxa" w:w="100"/>
            </w:tcMar>
          </w:tcPr>
          <w:p>
            <w:pPr>
              <w:spacing w:after="0"/>
              <w:jc w:val="left"/>
            </w:pPr>
            <w:r>
              <w:rPr>
                <w:rFonts w:ascii="Calibri" w:cs="Calibri" w:eastAsia="Calibri" w:hAnsi="Calibri"/>
                <w:b/>
                <w:bCs/>
                <w:sz w:val="18"/>
                <w:szCs w:val="18"/>
              </w:rPr>
              <w:t xml:space="preserve">Dimension</w:t>
            </w:r>
          </w:p>
        </w:tc>
        <w:tc>
          <w:tcPr>
            <w:tcW w:type="dxa" w:w="7340"/>
            <w:shd w:fill="DEE7F3" w:val="clear"/>
            <w:tcMar>
              <w:top w:type="dxa" w:w="40"/>
              <w:left w:type="dxa" w:w="100"/>
              <w:bottom w:type="dxa" w:w="40"/>
              <w:right w:type="dxa" w:w="100"/>
            </w:tcMar>
          </w:tcPr>
          <w:p>
            <w:pPr>
              <w:spacing w:after="0"/>
              <w:jc w:val="left"/>
            </w:pPr>
            <w:r>
              <w:rPr>
                <w:rFonts w:ascii="Calibri" w:cs="Calibri" w:eastAsia="Calibri" w:hAnsi="Calibri"/>
                <w:b/>
                <w:bCs/>
                <w:sz w:val="18"/>
                <w:szCs w:val="18"/>
              </w:rPr>
              <w:t xml:space="preserve">Impact attendu</w:t>
            </w:r>
          </w:p>
        </w:tc>
      </w:tr>
      <w:tr>
        <w:tc>
          <w:tcPr>
            <w:tcW w:type="dxa" w:w="23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Sanitaire</w:t>
            </w:r>
          </w:p>
        </w:tc>
        <w:tc>
          <w:tcPr>
            <w:tcW w:type="dxa" w:w="73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Un refuge à 12–14 °C par bassin de vie, accessible sans électricité. Publics prioritaires : personnes âgées isolées, EHPAD non climatisés, logements sous toiture. La canicule de 2003 (≈ 15 000 décès en France) et les étés récents (plusieurs milliers de décès attribuables à la chaleur chaque année selon Santé publique France) donnent l'échelle de l'enjeu.</w:t>
            </w:r>
          </w:p>
        </w:tc>
      </w:tr>
      <w:tr>
        <w:tc>
          <w:tcPr>
            <w:tcW w:type="dxa" w:w="23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Énergétique</w:t>
            </w:r>
          </w:p>
        </w:tc>
        <w:tc>
          <w:tcPr>
            <w:tcW w:type="dxa" w:w="73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 1,5 GW de pointe estivale évitée à terme (l'équivalent d'un réacteur nucléaire préservé au moment où le parc est le plus contraint) ; ≈ 1,5 à 2 TWh/an de consommation évitée ; résilience totale des refuges en cas de délestage ou de blackout.</w:t>
            </w:r>
          </w:p>
        </w:tc>
      </w:tr>
      <w:tr>
        <w:tc>
          <w:tcPr>
            <w:tcW w:type="dxa" w:w="23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Environnemental</w:t>
            </w:r>
          </w:p>
        </w:tc>
        <w:tc>
          <w:tcPr>
            <w:tcW w:type="dxa" w:w="73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Zéro fluide frigorigène (HFC à fort pouvoir de réchauffement) sur les ouvrages passifs ; zéro prélèvement et zéro rejet d'eau ; pas d'aggravation des îlots de chaleur (aucun rejet thermique en surface) ; buttes végétalisées = surfaces désimperméabilisées ; ≈ 0,2 Mt CO2e/an évitées (fuites de fluides et fabrication d'équipements importés).</w:t>
            </w:r>
          </w:p>
        </w:tc>
      </w:tr>
      <w:tr>
        <w:tc>
          <w:tcPr>
            <w:tcW w:type="dxa" w:w="23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Emploi et territoires</w:t>
            </w:r>
          </w:p>
        </w:tc>
        <w:tc>
          <w:tcPr>
            <w:tcW w:type="dxa" w:w="73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 50 000 emplois-année sur la décennie (4 000 à 6 000 ETP permanents), non délocalisables : terrassement, maçonnerie de chaux, forage géothermique, taille de pierre. Revalorisation d'un patrimoine dormant (glacières, caves voûtées). Retombées fiscales et sociales estimées à ≈ 30 % de la masse salariale injectée.</w:t>
            </w:r>
          </w:p>
        </w:tc>
      </w:tr>
      <w:tr>
        <w:tc>
          <w:tcPr>
            <w:tcW w:type="dxa" w:w="23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Social et équité</w:t>
            </w:r>
          </w:p>
        </w:tc>
        <w:tc>
          <w:tcPr>
            <w:tcW w:type="dxa" w:w="73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Le rural, peu couvert par les réseaux de froid urbains, est servi en premier (refuges communaux). Les halles rénovées recréent un lieu commun. La prime habitat est modulée selon les revenus, sur le modèle des aides à la rénovation.</w:t>
            </w:r>
          </w:p>
        </w:tc>
      </w:tr>
      <w:tr>
        <w:tc>
          <w:tcPr>
            <w:tcW w:type="dxa" w:w="23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Juridique</w:t>
            </w:r>
          </w:p>
        </w:tc>
        <w:tc>
          <w:tcPr>
            <w:tcW w:type="dxa" w:w="73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Véhicules existants : fléchage DETR/DSIL (aucune loi nouvelle nécessaire pour démarrer), arrêté modifiant le calcul du confort d'été dans la réglementation environnementale, instruction aux préfets pour les plans canicule. Une loi de programmation peut consolider la trajectoire décennale.</w:t>
            </w:r>
          </w:p>
        </w:tc>
      </w:tr>
    </w:tbl>
    <w:p>
      <w:pPr>
        <w:spacing w:after="100"/>
      </w:pPr>
    </w:p>
    <w:p>
      <w:pPr>
        <w:spacing w:after="80" w:before="200"/>
      </w:pPr>
      <w:r>
        <w:rPr>
          <w:rFonts w:ascii="Calibri" w:cs="Calibri" w:eastAsia="Calibri" w:hAnsi="Calibri"/>
          <w:b/>
          <w:bCs/>
          <w:color w:val="1F3864"/>
          <w:sz w:val="22"/>
          <w:szCs w:val="22"/>
        </w:rPr>
        <w:t xml:space="preserve">3.2 Analyse des risques et mesures d'atténuation</w:t>
      </w:r>
    </w:p>
    <w:tbl>
      <w:tblPr>
        <w:tblW w:type="dxa" w:w="9640"/>
        <w:tblBorders>
          <w:top w:val="single" w:color="8EAADB" w:sz="4"/>
          <w:left w:val="single" w:color="8EAADB" w:sz="4"/>
          <w:bottom w:val="single" w:color="8EAADB" w:sz="4"/>
          <w:right w:val="single" w:color="8EAADB" w:sz="4"/>
          <w:insideH w:val="single" w:color="B4C7E7" w:sz="2"/>
          <w:insideV w:val="single" w:color="B4C7E7" w:sz="2"/>
        </w:tblBorders>
      </w:tblPr>
      <w:tblGrid>
        <w:gridCol w:w="2600"/>
        <w:gridCol w:w="3600"/>
        <w:gridCol w:w="3440"/>
      </w:tblGrid>
      <w:tr>
        <w:tc>
          <w:tcPr>
            <w:tcW w:type="dxa" w:w="2600"/>
            <w:shd w:fill="DEE7F3" w:val="clear"/>
            <w:tcMar>
              <w:top w:type="dxa" w:w="40"/>
              <w:left w:type="dxa" w:w="100"/>
              <w:bottom w:type="dxa" w:w="40"/>
              <w:right w:type="dxa" w:w="100"/>
            </w:tcMar>
          </w:tcPr>
          <w:p>
            <w:pPr>
              <w:spacing w:after="0"/>
              <w:jc w:val="left"/>
            </w:pPr>
            <w:r>
              <w:rPr>
                <w:rFonts w:ascii="Calibri" w:cs="Calibri" w:eastAsia="Calibri" w:hAnsi="Calibri"/>
                <w:b/>
                <w:bCs/>
                <w:sz w:val="18"/>
                <w:szCs w:val="18"/>
              </w:rPr>
              <w:t xml:space="preserve">Risque</w:t>
            </w:r>
          </w:p>
        </w:tc>
        <w:tc>
          <w:tcPr>
            <w:tcW w:type="dxa" w:w="3600"/>
            <w:shd w:fill="DEE7F3" w:val="clear"/>
            <w:tcMar>
              <w:top w:type="dxa" w:w="40"/>
              <w:left w:type="dxa" w:w="100"/>
              <w:bottom w:type="dxa" w:w="40"/>
              <w:right w:type="dxa" w:w="100"/>
            </w:tcMar>
          </w:tcPr>
          <w:p>
            <w:pPr>
              <w:spacing w:after="0"/>
              <w:jc w:val="left"/>
            </w:pPr>
            <w:r>
              <w:rPr>
                <w:rFonts w:ascii="Calibri" w:cs="Calibri" w:eastAsia="Calibri" w:hAnsi="Calibri"/>
                <w:b/>
                <w:bCs/>
                <w:sz w:val="18"/>
                <w:szCs w:val="18"/>
              </w:rPr>
              <w:t xml:space="preserve">Description</w:t>
            </w:r>
          </w:p>
        </w:tc>
        <w:tc>
          <w:tcPr>
            <w:tcW w:type="dxa" w:w="3440"/>
            <w:shd w:fill="DEE7F3" w:val="clear"/>
            <w:tcMar>
              <w:top w:type="dxa" w:w="40"/>
              <w:left w:type="dxa" w:w="100"/>
              <w:bottom w:type="dxa" w:w="40"/>
              <w:right w:type="dxa" w:w="100"/>
            </w:tcMar>
          </w:tcPr>
          <w:p>
            <w:pPr>
              <w:spacing w:after="0"/>
              <w:jc w:val="left"/>
            </w:pPr>
            <w:r>
              <w:rPr>
                <w:rFonts w:ascii="Calibri" w:cs="Calibri" w:eastAsia="Calibri" w:hAnsi="Calibri"/>
                <w:b/>
                <w:bCs/>
                <w:sz w:val="18"/>
                <w:szCs w:val="18"/>
              </w:rPr>
              <w:t xml:space="preserve">Mesure d'atténuation</w:t>
            </w:r>
          </w:p>
        </w:tc>
      </w:tr>
      <w:tr>
        <w:tc>
          <w:tcPr>
            <w:tcW w:type="dxa" w:w="26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Géotechnique / nappe phréatique</w:t>
            </w:r>
          </w:p>
        </w:tc>
        <w:tc>
          <w:tcPr>
            <w:tcW w:type="dxa" w:w="36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Nappe haute rendant l'ouvrage enterré inondable</w:t>
            </w:r>
          </w:p>
        </w:tc>
        <w:tc>
          <w:tcPr>
            <w:tcW w:type="dxa" w:w="34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Étude de sol systématique financée dans l'AMO ; variante semi-enterrée à butte renforcée</w:t>
            </w:r>
          </w:p>
        </w:tc>
      </w:tr>
      <w:tr>
        <w:tc>
          <w:tcPr>
            <w:tcW w:type="dxa" w:w="26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Radon</w:t>
            </w:r>
          </w:p>
        </w:tc>
        <w:tc>
          <w:tcPr>
            <w:tcW w:type="dxa" w:w="36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Accumulation possible en zone granitique</w:t>
            </w:r>
          </w:p>
        </w:tc>
        <w:tc>
          <w:tcPr>
            <w:tcW w:type="dxa" w:w="34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Ventilation permanente à faible débit, cartographie IRSN intégrée au diagnostic</w:t>
            </w:r>
          </w:p>
        </w:tc>
      </w:tr>
      <w:tr>
        <w:tc>
          <w:tcPr>
            <w:tcW w:type="dxa" w:w="26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Dérive des coûts</w:t>
            </w:r>
          </w:p>
        </w:tc>
        <w:tc>
          <w:tcPr>
            <w:tcW w:type="dxa" w:w="36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Inflation BTP, petites séries</w:t>
            </w:r>
          </w:p>
        </w:tc>
        <w:tc>
          <w:tcPr>
            <w:tcW w:type="dxa" w:w="34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Marchés cadres régionaux, standardisation (buses, portes, ventilation), effet série attendu de −15 à −25 % sur la décennie</w:t>
            </w:r>
          </w:p>
        </w:tc>
      </w:tr>
      <w:tr>
        <w:tc>
          <w:tcPr>
            <w:tcW w:type="dxa" w:w="26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Capacité de la filière</w:t>
            </w:r>
          </w:p>
        </w:tc>
        <w:tc>
          <w:tcPr>
            <w:tcW w:type="dxa" w:w="36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Manque de maçons et de foreurs qualifiés</w:t>
            </w:r>
          </w:p>
        </w:tc>
        <w:tc>
          <w:tcPr>
            <w:tcW w:type="dxa" w:w="34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Volet formation financé dès l'année 1 (mesure 5 de la note) ; montée en charge progressive de la trajectoire</w:t>
            </w:r>
          </w:p>
        </w:tc>
      </w:tr>
      <w:tr>
        <w:tc>
          <w:tcPr>
            <w:tcW w:type="dxa" w:w="26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Sous-utilisation</w:t>
            </w:r>
          </w:p>
        </w:tc>
        <w:tc>
          <w:tcPr>
            <w:tcW w:type="dxa" w:w="36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Refuges construits mais non appropriés par la population</w:t>
            </w:r>
          </w:p>
        </w:tc>
        <w:tc>
          <w:tcPr>
            <w:tcW w:type="dxa" w:w="34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Double usage permanent (conserverie, stockage, halles) pour ancrer l'ouvrage dans la vie locale ; conventionnement avec les plans canicule</w:t>
            </w:r>
          </w:p>
        </w:tc>
      </w:tr>
      <w:tr>
        <w:tc>
          <w:tcPr>
            <w:tcW w:type="dxa" w:w="26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Sécurité des ouvrages enterrés</w:t>
            </w:r>
          </w:p>
        </w:tc>
        <w:tc>
          <w:tcPr>
            <w:tcW w:type="dxa" w:w="360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Accès, incendie, qualité de l'air</w:t>
            </w:r>
          </w:p>
        </w:tc>
        <w:tc>
          <w:tcPr>
            <w:tcW w:type="dxa" w:w="3440"/>
            <w:tcMar>
              <w:top w:type="dxa" w:w="40"/>
              <w:left w:type="dxa" w:w="100"/>
              <w:bottom w:type="dxa" w:w="40"/>
              <w:right w:type="dxa" w:w="100"/>
            </w:tcMar>
          </w:tcPr>
          <w:p>
            <w:pPr>
              <w:spacing w:after="0"/>
              <w:jc w:val="left"/>
            </w:pPr>
            <w:r>
              <w:rPr>
                <w:rFonts w:ascii="Calibri" w:cs="Calibri" w:eastAsia="Calibri" w:hAnsi="Calibri"/>
                <w:b w:val="function bold() { [native code] }"/>
                <w:bCs w:val="function bold() { [native code] }"/>
                <w:sz w:val="18"/>
                <w:szCs w:val="18"/>
              </w:rPr>
              <w:t xml:space="preserve">Application du cadre ERP existant, deux issues pour les ouvrages collectifs, contrôle périodique léger</w:t>
            </w:r>
          </w:p>
        </w:tc>
      </w:tr>
    </w:tbl>
    <w:p>
      <w:pPr>
        <w:spacing w:after="100"/>
      </w:pPr>
    </w:p>
    <w:p>
      <w:pPr>
        <w:spacing w:after="80" w:before="200"/>
      </w:pPr>
      <w:r>
        <w:rPr>
          <w:rFonts w:ascii="Calibri" w:cs="Calibri" w:eastAsia="Calibri" w:hAnsi="Calibri"/>
          <w:b/>
          <w:bCs/>
          <w:color w:val="1F3864"/>
          <w:sz w:val="22"/>
          <w:szCs w:val="22"/>
        </w:rPr>
        <w:t xml:space="preserve">3.3 Indicateurs de suivi proposés</w:t>
      </w:r>
    </w:p>
    <w:p>
      <w:pPr>
        <w:pStyle w:val="ListParagraph"/>
        <w:numPr>
          <w:ilvl w:val="0"/>
          <w:numId w:val="2"/>
        </w:numPr>
        <w:spacing w:after="60" w:line="248"/>
        <w:jc w:val="both"/>
      </w:pPr>
      <w:r>
        <w:rPr>
          <w:rFonts w:ascii="Calibri" w:cs="Calibri" w:eastAsia="Calibri" w:hAnsi="Calibri"/>
          <w:b/>
          <w:bCs/>
          <w:sz w:val="20"/>
          <w:szCs w:val="20"/>
        </w:rPr>
        <w:t xml:space="preserve">Sanitaire : </w:t>
      </w:r>
      <w:r>
        <w:rPr>
          <w:rFonts w:ascii="Calibri" w:cs="Calibri" w:eastAsia="Calibri" w:hAnsi="Calibri"/>
          <w:sz w:val="20"/>
          <w:szCs w:val="20"/>
        </w:rPr>
        <w:t xml:space="preserve">nombre de bassins de vie couverts par un refuge sans électricité ; fréquentation des refuges lors des vigilances rouges ; surmortalité estivale comparée par territoire équipé/non équipé.</w:t>
      </w:r>
    </w:p>
    <w:p>
      <w:pPr>
        <w:pStyle w:val="ListParagraph"/>
        <w:numPr>
          <w:ilvl w:val="0"/>
          <w:numId w:val="2"/>
        </w:numPr>
        <w:spacing w:after="60" w:line="248"/>
        <w:jc w:val="both"/>
      </w:pPr>
      <w:r>
        <w:rPr>
          <w:rFonts w:ascii="Calibri" w:cs="Calibri" w:eastAsia="Calibri" w:hAnsi="Calibri"/>
          <w:b/>
          <w:bCs/>
          <w:sz w:val="20"/>
          <w:szCs w:val="20"/>
        </w:rPr>
        <w:t xml:space="preserve">Énergétique : </w:t>
      </w:r>
      <w:r>
        <w:rPr>
          <w:rFonts w:ascii="Calibri" w:cs="Calibri" w:eastAsia="Calibri" w:hAnsi="Calibri"/>
          <w:sz w:val="20"/>
          <w:szCs w:val="20"/>
        </w:rPr>
        <w:t xml:space="preserve">MW de pointe estivale évités (mesure RTE) ; consommation de climatisation des bâtiments publics équipés (avant/après).</w:t>
      </w:r>
    </w:p>
    <w:p>
      <w:pPr>
        <w:pStyle w:val="ListParagraph"/>
        <w:numPr>
          <w:ilvl w:val="0"/>
          <w:numId w:val="2"/>
        </w:numPr>
        <w:spacing w:after="60" w:line="248"/>
        <w:jc w:val="both"/>
      </w:pPr>
      <w:r>
        <w:rPr>
          <w:rFonts w:ascii="Calibri" w:cs="Calibri" w:eastAsia="Calibri" w:hAnsi="Calibri"/>
          <w:b/>
          <w:bCs/>
          <w:sz w:val="20"/>
          <w:szCs w:val="20"/>
        </w:rPr>
        <w:t xml:space="preserve">Économique : </w:t>
      </w:r>
      <w:r>
        <w:rPr>
          <w:rFonts w:ascii="Calibri" w:cs="Calibri" w:eastAsia="Calibri" w:hAnsi="Calibri"/>
          <w:sz w:val="20"/>
          <w:szCs w:val="20"/>
        </w:rPr>
        <w:t xml:space="preserve">coût unitaire moyen par type d'ouvrage (suivi de l'effet série) ; emplois créés en filière ; taux de cofinancement effectif.</w:t>
      </w:r>
    </w:p>
    <w:p>
      <w:pPr>
        <w:pStyle w:val="ListParagraph"/>
        <w:numPr>
          <w:ilvl w:val="0"/>
          <w:numId w:val="2"/>
        </w:numPr>
        <w:spacing w:after="60" w:line="248"/>
        <w:jc w:val="both"/>
      </w:pPr>
      <w:r>
        <w:rPr>
          <w:rFonts w:ascii="Calibri" w:cs="Calibri" w:eastAsia="Calibri" w:hAnsi="Calibri"/>
          <w:b/>
          <w:bCs/>
          <w:sz w:val="20"/>
          <w:szCs w:val="20"/>
        </w:rPr>
        <w:t xml:space="preserve">Patrimonial : </w:t>
      </w:r>
      <w:r>
        <w:rPr>
          <w:rFonts w:ascii="Calibri" w:cs="Calibri" w:eastAsia="Calibri" w:hAnsi="Calibri"/>
          <w:sz w:val="20"/>
          <w:szCs w:val="20"/>
        </w:rPr>
        <w:t xml:space="preserve">nombre de glacières et caves recensées puis réhabilitées ; part de la réhabilitation dans le total (cible : &gt; 30 %).</w:t>
      </w:r>
    </w:p>
    <w:p>
      <w:pPr>
        <w:spacing w:after="80" w:before="200"/>
      </w:pPr>
      <w:r>
        <w:rPr>
          <w:rFonts w:ascii="Calibri" w:cs="Calibri" w:eastAsia="Calibri" w:hAnsi="Calibri"/>
          <w:b/>
          <w:bCs/>
          <w:color w:val="1F3864"/>
          <w:sz w:val="22"/>
          <w:szCs w:val="22"/>
        </w:rPr>
        <w:t xml:space="preserve">3.4 Conclusion</w:t>
      </w:r>
    </w:p>
    <w:p>
      <w:pPr>
        <w:spacing w:after="100" w:line="252"/>
        <w:jc w:val="both"/>
      </w:pPr>
      <w:r>
        <w:rPr>
          <w:rFonts w:ascii="Calibri" w:cs="Calibri" w:eastAsia="Calibri" w:hAnsi="Calibri"/>
          <w:sz w:val="20"/>
          <w:szCs w:val="20"/>
        </w:rPr>
        <w:t xml:space="preserve">Le programme propose de substituer à une dépense récurrente, importée et fragile (la climatisation généralisée) un investissement patrimonial, local et centenaire. Sa rentabilité strictement financière est réelle mais lente ; sa rentabilité socio-économique est forte ; sa valeur assurantielle — des vies protégées même réseau coupé — est sans équivalent. C'est, au sens propre, une infrastructure de civilisation : la même que nos prédécesseurs ont bâtie il y a trois siècles et qui fonctionne encore.</w:t>
      </w:r>
    </w:p>
    <w:p>
      <w:pPr>
        <w:pBdr>
          <w:top w:val="single" w:color="B4C7E7" w:sz="4" w:space="4"/>
        </w:pBdr>
        <w:spacing w:after="0" w:before="160"/>
      </w:pPr>
      <w:r>
        <w:rPr>
          <w:rFonts w:ascii="Calibri" w:cs="Calibri" w:eastAsia="Calibri" w:hAnsi="Calibri"/>
          <w:i/>
          <w:iCs/>
          <w:color w:val="595959"/>
          <w:sz w:val="17"/>
          <w:szCs w:val="17"/>
        </w:rPr>
        <w:t xml:space="preserve">Ordres de grandeur — France métropolitaine, juillet 2026. Hypothèses détaillées, sources et calculs disponibles sur demande. Document destiné à éclairer la décision politique ; les chiffrages engageants relèvent des études administratives préalables.</w:t>
      </w:r>
    </w:p>
    <w:sectPr>
      <w:pgSz w:w="11906" w:h="16838" w:orient="portrait"/>
      <w:pgMar w:top="907" w:right="963" w:bottom="793" w:left="9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2026-07-09T06:17:32.298Z</dcterms:created>
  <dcterms:modified xsi:type="dcterms:W3CDTF">2026-07-09T06:17:32.314Z</dcterms:modified>
</cp:coreProperties>
</file>

<file path=docProps/custom.xml><?xml version="1.0" encoding="utf-8"?>
<Properties xmlns="http://schemas.openxmlformats.org/officeDocument/2006/custom-properties" xmlns:vt="http://schemas.openxmlformats.org/officeDocument/2006/docPropsVTypes"/>
</file>