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6"/>
          <w:szCs w:val="26"/>
        </w:rPr>
        <w:t xml:space="preserve">NOTE À L'ATTENTION DES CABINETS PARLEMENTAIRES</w:t>
      </w:r>
    </w:p>
    <w:p>
      <w:pPr>
        <w:spacing w:after="30"/>
        <w:jc w:val="center"/>
      </w:pPr>
      <w:r>
        <w:rPr>
          <w:rFonts w:ascii="Calibri" w:cs="Calibri" w:eastAsia="Calibri" w:hAnsi="Calibri"/>
          <w:b/>
          <w:bCs/>
          <w:sz w:val="22"/>
          <w:szCs w:val="22"/>
        </w:rPr>
        <w:t xml:space="preserve">Un réseau national de fraîcheur passive : refuges thermiques communaux et froid sans électricité</w:t>
      </w:r>
    </w:p>
    <w:p>
      <w:pPr>
        <w:pBdr>
          <w:bottom w:val="single" w:color="1F3864" w:sz="6" w:space="4"/>
        </w:pBdr>
        <w:spacing w:after="140"/>
        <w:jc w:val="center"/>
      </w:pPr>
      <w:r>
        <w:rPr>
          <w:rFonts w:ascii="Calibri" w:cs="Calibri" w:eastAsia="Calibri" w:hAnsi="Calibri"/>
          <w:i/>
          <w:iCs/>
          <w:color w:val="595959"/>
          <w:sz w:val="19"/>
          <w:szCs w:val="19"/>
        </w:rPr>
        <w:t xml:space="preserve">Volet « canicule » de la résilience des infrastructures critiques — Juillet 2026</w:t>
      </w:r>
    </w:p>
    <w:p>
      <w:pPr>
        <w:spacing w:after="90" w:before="220"/>
      </w:pPr>
      <w:r>
        <w:rPr>
          <w:rFonts w:ascii="Calibri" w:cs="Calibri" w:eastAsia="Calibri" w:hAnsi="Calibri"/>
          <w:b/>
          <w:bCs/>
          <w:color w:val="1F3864"/>
          <w:sz w:val="23"/>
          <w:szCs w:val="23"/>
        </w:rPr>
        <w:t xml:space="preserve">L'ESSENTIEL</w:t>
      </w:r>
    </w:p>
    <w:p>
      <w:pPr>
        <w:pStyle w:val="ListParagraph"/>
        <w:numPr>
          <w:ilvl w:val="0"/>
          <w:numId w:val="2"/>
        </w:numPr>
        <w:spacing w:after="60" w:line="248"/>
        <w:jc w:val="both"/>
      </w:pPr>
      <w:r>
        <w:rPr>
          <w:rFonts w:ascii="Calibri" w:cs="Calibri" w:eastAsia="Calibri" w:hAnsi="Calibri"/>
          <w:b/>
          <w:bCs/>
          <w:sz w:val="20"/>
          <w:szCs w:val="20"/>
        </w:rPr>
        <w:t xml:space="preserve">Le paradoxe de la climatisation</w:t>
      </w:r>
      <w:r>
        <w:rPr>
          <w:rFonts w:ascii="Calibri" w:cs="Calibri" w:eastAsia="Calibri" w:hAnsi="Calibri"/>
          <w:sz w:val="20"/>
          <w:szCs w:val="20"/>
        </w:rPr>
        <w:t xml:space="preserve"> : les épisodes à 45–50 °C annoncés rendent la climatisation à la fois indispensable et défaillante — elle sature le réseau électrique au moment précis où celui-ci est le plus fragile, et devient inopérante en cas de coupure.</w:t>
      </w:r>
    </w:p>
    <w:p>
      <w:pPr>
        <w:pStyle w:val="ListParagraph"/>
        <w:numPr>
          <w:ilvl w:val="0"/>
          <w:numId w:val="2"/>
        </w:numPr>
        <w:spacing w:after="60" w:line="248"/>
        <w:jc w:val="both"/>
      </w:pPr>
      <w:r>
        <w:rPr>
          <w:rFonts w:ascii="Calibri" w:cs="Calibri" w:eastAsia="Calibri" w:hAnsi="Calibri"/>
          <w:b/>
          <w:bCs/>
          <w:sz w:val="20"/>
          <w:szCs w:val="20"/>
        </w:rPr>
        <w:t xml:space="preserve">Une ressource nationale inexploitée</w:t>
      </w:r>
      <w:r>
        <w:rPr>
          <w:rFonts w:ascii="Calibri" w:cs="Calibri" w:eastAsia="Calibri" w:hAnsi="Calibri"/>
          <w:sz w:val="20"/>
          <w:szCs w:val="20"/>
        </w:rPr>
        <w:t xml:space="preserve"> : le sol français offre gratuitement, à 3–4 mètres de profondeur, une température constante de 12 à 14 °C toute l'année. Les glacières historiques (XVIIe–XIXe siècles), encore intactes par milliers, en font la démonstration depuis trois siècles.</w:t>
      </w:r>
    </w:p>
    <w:p>
      <w:pPr>
        <w:pStyle w:val="ListParagraph"/>
        <w:numPr>
          <w:ilvl w:val="0"/>
          <w:numId w:val="2"/>
        </w:numPr>
        <w:spacing w:after="60" w:line="248"/>
        <w:jc w:val="both"/>
      </w:pPr>
      <w:r>
        <w:rPr>
          <w:rFonts w:ascii="Calibri" w:cs="Calibri" w:eastAsia="Calibri" w:hAnsi="Calibri"/>
          <w:b/>
          <w:bCs/>
          <w:sz w:val="20"/>
          <w:szCs w:val="20"/>
        </w:rPr>
        <w:t xml:space="preserve">La proposition</w:t>
      </w:r>
      <w:r>
        <w:rPr>
          <w:rFonts w:ascii="Calibri" w:cs="Calibri" w:eastAsia="Calibri" w:hAnsi="Calibri"/>
          <w:sz w:val="20"/>
          <w:szCs w:val="20"/>
        </w:rPr>
        <w:t xml:space="preserve"> : équiper les communes de refuges thermiques passifs et généraliser le froid géothermique de surface, pour un coût complet très inférieur à la climatisation, avec des matériaux et des emplois entièrement locaux.</w:t>
      </w:r>
    </w:p>
    <w:p>
      <w:pPr>
        <w:spacing w:after="90" w:before="220"/>
      </w:pPr>
      <w:r>
        <w:rPr>
          <w:rFonts w:ascii="Calibri" w:cs="Calibri" w:eastAsia="Calibri" w:hAnsi="Calibri"/>
          <w:b/>
          <w:bCs/>
          <w:color w:val="1F3864"/>
          <w:sz w:val="23"/>
          <w:szCs w:val="23"/>
        </w:rPr>
        <w:t xml:space="preserve">1. LE CONSTAT : UN CERCLE VICIEUX ÉNERGÉTIQUE ET SANITAIRE</w:t>
      </w:r>
    </w:p>
    <w:p>
      <w:pPr>
        <w:spacing w:after="90" w:line="252"/>
        <w:jc w:val="both"/>
      </w:pPr>
      <w:r>
        <w:rPr>
          <w:rFonts w:ascii="Calibri" w:cs="Calibri" w:eastAsia="Calibri" w:hAnsi="Calibri"/>
          <w:sz w:val="20"/>
          <w:szCs w:val="20"/>
        </w:rPr>
        <w:t xml:space="preserve">Chaque canicule aggrave la demande électrique de pointe au moment où la production est contrainte (débit et température des fleuves limitant le refroidissement des centrales). Les climatiseurs rejettent leur chaleur dans la rue, accentuant les îlots de chaleur urbains de 1 à 2 °C. Les équipements et fluides frigorigènes sont massivement importés. Enfin, en cas de délestage ou de blackout — scénario documenté par la panne ibérique d'avril 2025 — la climatisation cesse de fonctionner précisément lorsque son absence tue. Les personnes âgées isolées et les établissements médico-sociaux sont en première ligne.</w:t>
      </w:r>
    </w:p>
    <w:p>
      <w:pPr>
        <w:spacing w:after="90" w:before="220"/>
      </w:pPr>
      <w:r>
        <w:rPr>
          <w:rFonts w:ascii="Calibri" w:cs="Calibri" w:eastAsia="Calibri" w:hAnsi="Calibri"/>
          <w:b/>
          <w:bCs/>
          <w:color w:val="1F3864"/>
          <w:sz w:val="23"/>
          <w:szCs w:val="23"/>
        </w:rPr>
        <w:t xml:space="preserve">2. LA SOLUTION : CONSERVER LE FROID PLUTÔT QUE LE PRODUIRE</w:t>
      </w:r>
    </w:p>
    <w:p>
      <w:pPr>
        <w:spacing w:after="90" w:line="252"/>
        <w:jc w:val="both"/>
      </w:pPr>
      <w:r>
        <w:rPr>
          <w:rFonts w:ascii="Calibri" w:cs="Calibri" w:eastAsia="Calibri" w:hAnsi="Calibri"/>
          <w:sz w:val="20"/>
          <w:szCs w:val="20"/>
        </w:rPr>
        <w:t xml:space="preserve">Le principe est éprouvé : un volume enterré sous une butte de terre végétalisée, accès au nord en chicane, drainage en fond d'ouvrage. Aucune pièce mobile, aucun fluide, aucune électronique — rien ne peut tomber en panne. Les glacières de château fonctionnent encore après trois cents ans. Trois échelles de déploiement se complètent :</w:t>
      </w:r>
    </w:p>
    <w:tbl>
      <w:tblPr>
        <w:tblW w:type="dxa" w:w="9360"/>
        <w:tblBorders>
          <w:top w:val="single" w:color="8EAADB" w:sz="4"/>
          <w:left w:val="single" w:color="8EAADB" w:sz="4"/>
          <w:bottom w:val="single" w:color="8EAADB" w:sz="4"/>
          <w:right w:val="single" w:color="8EAADB" w:sz="4"/>
          <w:insideH w:val="single" w:color="B4C7E7" w:sz="2"/>
          <w:insideV w:val="single" w:color="B4C7E7" w:sz="2"/>
        </w:tblBorders>
      </w:tblPr>
      <w:tblGrid>
        <w:gridCol w:w="3300"/>
        <w:gridCol w:w="2600"/>
        <w:gridCol w:w="3460"/>
      </w:tblGrid>
      <w:tr>
        <w:tc>
          <w:tcPr>
            <w:tcW w:type="dxa" w:w="3300"/>
            <w:shd w:fill="DEE7F3" w:val="clear"/>
            <w:tcMar>
              <w:top w:type="dxa" w:w="40"/>
              <w:left w:type="dxa" w:w="100"/>
              <w:bottom w:type="dxa" w:w="40"/>
              <w:right w:type="dxa" w:w="100"/>
            </w:tcMar>
          </w:tcPr>
          <w:p>
            <w:pPr>
              <w:spacing w:after="0"/>
            </w:pPr>
            <w:r>
              <w:rPr>
                <w:rFonts w:ascii="Calibri" w:cs="Calibri" w:eastAsia="Calibri" w:hAnsi="Calibri"/>
                <w:b/>
                <w:bCs/>
                <w:sz w:val="18"/>
                <w:szCs w:val="18"/>
              </w:rPr>
              <w:t xml:space="preserve">Échelle</w:t>
            </w:r>
          </w:p>
        </w:tc>
        <w:tc>
          <w:tcPr>
            <w:tcW w:type="dxa" w:w="2600"/>
            <w:shd w:fill="DEE7F3" w:val="clear"/>
            <w:tcMar>
              <w:top w:type="dxa" w:w="40"/>
              <w:left w:type="dxa" w:w="100"/>
              <w:bottom w:type="dxa" w:w="40"/>
              <w:right w:type="dxa" w:w="100"/>
            </w:tcMar>
          </w:tcPr>
          <w:p>
            <w:pPr>
              <w:spacing w:after="0"/>
            </w:pPr>
            <w:r>
              <w:rPr>
                <w:rFonts w:ascii="Calibri" w:cs="Calibri" w:eastAsia="Calibri" w:hAnsi="Calibri"/>
                <w:b/>
                <w:bCs/>
                <w:sz w:val="18"/>
                <w:szCs w:val="18"/>
              </w:rPr>
              <w:t xml:space="preserve">Coût indicatif</w:t>
            </w:r>
          </w:p>
        </w:tc>
        <w:tc>
          <w:tcPr>
            <w:tcW w:type="dxa" w:w="3460"/>
            <w:shd w:fill="DEE7F3" w:val="clear"/>
            <w:tcMar>
              <w:top w:type="dxa" w:w="40"/>
              <w:left w:type="dxa" w:w="100"/>
              <w:bottom w:type="dxa" w:w="40"/>
              <w:right w:type="dxa" w:w="100"/>
            </w:tcMar>
          </w:tcPr>
          <w:p>
            <w:pPr>
              <w:spacing w:after="0"/>
            </w:pPr>
            <w:r>
              <w:rPr>
                <w:rFonts w:ascii="Calibri" w:cs="Calibri" w:eastAsia="Calibri" w:hAnsi="Calibri"/>
                <w:b/>
                <w:bCs/>
                <w:sz w:val="18"/>
                <w:szCs w:val="18"/>
              </w:rPr>
              <w:t xml:space="preserve">Effet attendu</w:t>
            </w:r>
          </w:p>
        </w:tc>
      </w:tr>
      <w:tr>
        <w:tc>
          <w:tcPr>
            <w:tcW w:type="dxa" w:w="33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Village — refuge thermique communal (glacière restaurée ou cave neuve 50–100 m³)</w:t>
            </w:r>
          </w:p>
        </w:tc>
        <w:tc>
          <w:tcPr>
            <w:tcW w:type="dxa" w:w="26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30 000 – 80 000 € (restauration : 3 à 5 fois moins cher que le neuf)</w:t>
            </w:r>
          </w:p>
        </w:tc>
        <w:tc>
          <w:tcPr>
            <w:tcW w:type="dxa" w:w="346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Pièce à 12–14 °C accessible à tous, fonctionnelle même en cas de coupure électrique</w:t>
            </w:r>
          </w:p>
        </w:tc>
      </w:tr>
      <w:tr>
        <w:tc>
          <w:tcPr>
            <w:tcW w:type="dxa" w:w="33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Bâtiments publics — puits provençaux (écoles, mairies, EHPAD)</w:t>
            </w:r>
          </w:p>
        </w:tc>
        <w:tc>
          <w:tcPr>
            <w:tcW w:type="dxa" w:w="26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15 000 – 40 000 € par bâtiment</w:t>
            </w:r>
          </w:p>
        </w:tc>
        <w:tc>
          <w:tcPr>
            <w:tcW w:type="dxa" w:w="346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Air entrant à 16–18 °C par 45 °C extérieur, consommation électrique marginale</w:t>
            </w:r>
          </w:p>
        </w:tc>
      </w:tr>
      <w:tr>
        <w:tc>
          <w:tcPr>
            <w:tcW w:type="dxa" w:w="33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Ville — réseaux de froid par géocooling (nappes, fleuves)</w:t>
            </w:r>
          </w:p>
        </w:tc>
        <w:tc>
          <w:tcPr>
            <w:tcW w:type="dxa" w:w="26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1 500 – 3 000 € par logement raccordé</w:t>
            </w:r>
          </w:p>
        </w:tc>
        <w:tc>
          <w:tcPr>
            <w:tcW w:type="dxa" w:w="346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Consommation 20 à 30 fois inférieure à la climatisation individuelle</w:t>
            </w:r>
          </w:p>
        </w:tc>
      </w:tr>
      <w:tr>
        <w:tc>
          <w:tcPr>
            <w:tcW w:type="dxa" w:w="33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Habitat neuf — cave-fraîcheur et puits provençal intégrés à la construction</w:t>
            </w:r>
          </w:p>
        </w:tc>
        <w:tc>
          <w:tcPr>
            <w:tcW w:type="dxa" w:w="260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3 000 – 6 000 € par maison</w:t>
            </w:r>
          </w:p>
        </w:tc>
        <w:tc>
          <w:tcPr>
            <w:tcW w:type="dxa" w:w="3460"/>
            <w:tcMar>
              <w:top w:type="dxa" w:w="40"/>
              <w:left w:type="dxa" w:w="100"/>
              <w:bottom w:type="dxa" w:w="40"/>
              <w:right w:type="dxa" w:w="100"/>
            </w:tcMar>
          </w:tcPr>
          <w:p>
            <w:pPr>
              <w:spacing w:after="0"/>
            </w:pPr>
            <w:r>
              <w:rPr>
                <w:rFonts w:ascii="Calibri" w:cs="Calibri" w:eastAsia="Calibri" w:hAnsi="Calibri"/>
                <w:b w:val="false"/>
                <w:bCs w:val="false"/>
                <w:sz w:val="18"/>
                <w:szCs w:val="18"/>
              </w:rPr>
              <w:t xml:space="preserve">Suppression de l'essentiel du besoin de climatisation sur un siècle</w:t>
            </w:r>
          </w:p>
        </w:tc>
      </w:tr>
    </w:tbl>
    <w:p>
      <w:pPr>
        <w:spacing w:after="90"/>
      </w:pPr>
    </w:p>
    <w:p>
      <w:pPr>
        <w:spacing w:after="90" w:before="220"/>
      </w:pPr>
      <w:r>
        <w:rPr>
          <w:rFonts w:ascii="Calibri" w:cs="Calibri" w:eastAsia="Calibri" w:hAnsi="Calibri"/>
          <w:b/>
          <w:bCs/>
          <w:color w:val="1F3864"/>
          <w:sz w:val="23"/>
          <w:szCs w:val="23"/>
        </w:rPr>
        <w:t xml:space="preserve">3. L'ARGUMENT ÉCONOMIQUE ET SOUVERAIN</w:t>
      </w:r>
    </w:p>
    <w:p>
      <w:pPr>
        <w:spacing w:after="90" w:line="252"/>
        <w:jc w:val="both"/>
      </w:pPr>
      <w:r>
        <w:rPr>
          <w:rFonts w:ascii="Calibri" w:cs="Calibri" w:eastAsia="Calibri" w:hAnsi="Calibri"/>
          <w:sz w:val="20"/>
          <w:szCs w:val="20"/>
        </w:rPr>
        <w:t xml:space="preserve">Chaque climatiseur évité libère de la puissance électrique pour l'industrie, réduit les importations d'équipements et de fluides, et allège la pointe estivale du réseau. Les chantiers mobilisent des savoir-faire non délocalisables (terrassement, maçonnerie, taille de pierre, chaux) et revalorisent un patrimoine existant : de nombreuses communes possèdent déjà glacières, caves voûtées ou souterrains, aujourd'hui dormants. Un programme national de l'ordre de 5 milliards d'euros sur dix ans équiperait plusieurs milliers de communes ; l'ouvrage dure un siècle avec un entretien quasi nul, ce qu'aucune technologie active ne peut offrir en coût complet. L'amortissement des ouvrages individuels est estimé entre 4 et 8 ans.</w:t>
      </w:r>
    </w:p>
    <w:p>
      <w:pPr>
        <w:spacing w:after="90" w:before="220"/>
      </w:pPr>
      <w:r>
        <w:rPr>
          <w:rFonts w:ascii="Calibri" w:cs="Calibri" w:eastAsia="Calibri" w:hAnsi="Calibri"/>
          <w:b/>
          <w:bCs/>
          <w:color w:val="1F3864"/>
          <w:sz w:val="23"/>
          <w:szCs w:val="23"/>
        </w:rPr>
        <w:t xml:space="preserve">4. ARTICULATION AVEC LA CONTINUITÉ DES INFRASTRUCTURES CRITIQUES</w:t>
      </w:r>
    </w:p>
    <w:p>
      <w:pPr>
        <w:spacing w:after="90" w:line="252"/>
        <w:jc w:val="both"/>
      </w:pPr>
      <w:r>
        <w:rPr>
          <w:rFonts w:ascii="Calibri" w:cs="Calibri" w:eastAsia="Calibri" w:hAnsi="Calibri"/>
          <w:sz w:val="20"/>
          <w:szCs w:val="20"/>
        </w:rPr>
        <w:t xml:space="preserve">Cette proposition constitue le volet « canicule » d'une politique de résilience en scénario électrique dégradé : un réseau de refuges thermiques communaux reste pleinement fonctionnel pendant un blackout, là où la climatisation devient inutile. Il complète les plans canicule existants par une infrastructure physique pérenne, et non par de seuls dispositifs d'alerte. Les refuges peuvent en outre servir de points de conservation alimentaire et pharmaceutique de secours (chaîne du froid dégradée).</w:t>
      </w:r>
    </w:p>
    <w:p>
      <w:pPr>
        <w:spacing w:after="90" w:before="220"/>
      </w:pPr>
      <w:r>
        <w:rPr>
          <w:rFonts w:ascii="Calibri" w:cs="Calibri" w:eastAsia="Calibri" w:hAnsi="Calibri"/>
          <w:b/>
          <w:bCs/>
          <w:color w:val="1F3864"/>
          <w:sz w:val="23"/>
          <w:szCs w:val="23"/>
        </w:rPr>
        <w:t xml:space="preserve">5. SIX MESURES CONCRÈTES</w:t>
      </w:r>
    </w:p>
    <w:p>
      <w:pPr>
        <w:pStyle w:val="ListParagraph"/>
        <w:numPr>
          <w:ilvl w:val="0"/>
          <w:numId w:val="3"/>
        </w:numPr>
        <w:spacing w:after="70" w:line="248"/>
        <w:jc w:val="both"/>
      </w:pPr>
      <w:r>
        <w:rPr>
          <w:rFonts w:ascii="Calibri" w:cs="Calibri" w:eastAsia="Calibri" w:hAnsi="Calibri"/>
          <w:b/>
          <w:bCs/>
          <w:sz w:val="20"/>
          <w:szCs w:val="20"/>
        </w:rPr>
        <w:t xml:space="preserve">Recensement national </w:t>
      </w:r>
      <w:r>
        <w:rPr>
          <w:rFonts w:ascii="Calibri" w:cs="Calibri" w:eastAsia="Calibri" w:hAnsi="Calibri"/>
          <w:sz w:val="20"/>
          <w:szCs w:val="20"/>
        </w:rPr>
        <w:t xml:space="preserve">du patrimoine froid passif (glacières, caves voûtées, souterrains communaux) via les DRAC et l'IGN, avec diagnostic de restauration.</w:t>
      </w:r>
    </w:p>
    <w:p>
      <w:pPr>
        <w:pStyle w:val="ListParagraph"/>
        <w:numPr>
          <w:ilvl w:val="0"/>
          <w:numId w:val="3"/>
        </w:numPr>
        <w:spacing w:after="70" w:line="248"/>
        <w:jc w:val="both"/>
      </w:pPr>
      <w:r>
        <w:rPr>
          <w:rFonts w:ascii="Calibri" w:cs="Calibri" w:eastAsia="Calibri" w:hAnsi="Calibri"/>
          <w:b/>
          <w:bCs/>
          <w:sz w:val="20"/>
          <w:szCs w:val="20"/>
        </w:rPr>
        <w:t xml:space="preserve">Fonds « Fraîcheur communale » </w:t>
      </w:r>
      <w:r>
        <w:rPr>
          <w:rFonts w:ascii="Calibri" w:cs="Calibri" w:eastAsia="Calibri" w:hAnsi="Calibri"/>
          <w:sz w:val="20"/>
          <w:szCs w:val="20"/>
        </w:rPr>
        <w:t xml:space="preserve">(dotation type DETR fléchée) : subvention de 50 à 80 % pour la restauration ou la création d'un refuge thermique passif par commune volontaire, en priorité celles dotées d'un EHPAD ou sans bâtiment climatisé.</w:t>
      </w:r>
    </w:p>
    <w:p>
      <w:pPr>
        <w:pStyle w:val="ListParagraph"/>
        <w:numPr>
          <w:ilvl w:val="0"/>
          <w:numId w:val="3"/>
        </w:numPr>
        <w:spacing w:after="70" w:line="248"/>
        <w:jc w:val="both"/>
      </w:pPr>
      <w:r>
        <w:rPr>
          <w:rFonts w:ascii="Calibri" w:cs="Calibri" w:eastAsia="Calibri" w:hAnsi="Calibri"/>
          <w:b/>
          <w:bCs/>
          <w:sz w:val="20"/>
          <w:szCs w:val="20"/>
        </w:rPr>
        <w:t xml:space="preserve">Intégration à la réglementation environnementale </w:t>
      </w:r>
      <w:r>
        <w:rPr>
          <w:rFonts w:ascii="Calibri" w:cs="Calibri" w:eastAsia="Calibri" w:hAnsi="Calibri"/>
          <w:sz w:val="20"/>
          <w:szCs w:val="20"/>
        </w:rPr>
        <w:t xml:space="preserve">du bâtiment : valorisation explicite du puits climatique et des volumes enterrés dans le calcul du confort d'été, pour orienter le neuf vers le passif.</w:t>
      </w:r>
    </w:p>
    <w:p>
      <w:pPr>
        <w:pStyle w:val="ListParagraph"/>
        <w:numPr>
          <w:ilvl w:val="0"/>
          <w:numId w:val="3"/>
        </w:numPr>
        <w:spacing w:after="70" w:line="248"/>
        <w:jc w:val="both"/>
      </w:pPr>
      <w:r>
        <w:rPr>
          <w:rFonts w:ascii="Calibri" w:cs="Calibri" w:eastAsia="Calibri" w:hAnsi="Calibri"/>
          <w:b/>
          <w:bCs/>
          <w:sz w:val="20"/>
          <w:szCs w:val="20"/>
        </w:rPr>
        <w:t xml:space="preserve">Inscription dans les plans canicule </w:t>
      </w:r>
      <w:r>
        <w:rPr>
          <w:rFonts w:ascii="Calibri" w:cs="Calibri" w:eastAsia="Calibri" w:hAnsi="Calibri"/>
          <w:sz w:val="20"/>
          <w:szCs w:val="20"/>
        </w:rPr>
        <w:t xml:space="preserve">départementaux : tout plan devra identifier au moins un refuge thermique fonctionnant sans électricité par bassin de vie.</w:t>
      </w:r>
    </w:p>
    <w:p>
      <w:pPr>
        <w:pStyle w:val="ListParagraph"/>
        <w:numPr>
          <w:ilvl w:val="0"/>
          <w:numId w:val="3"/>
        </w:numPr>
        <w:spacing w:after="70" w:line="248"/>
        <w:jc w:val="both"/>
      </w:pPr>
      <w:r>
        <w:rPr>
          <w:rFonts w:ascii="Calibri" w:cs="Calibri" w:eastAsia="Calibri" w:hAnsi="Calibri"/>
          <w:b/>
          <w:bCs/>
          <w:sz w:val="20"/>
          <w:szCs w:val="20"/>
        </w:rPr>
        <w:t xml:space="preserve">Filière de formation </w:t>
      </w:r>
      <w:r>
        <w:rPr>
          <w:rFonts w:ascii="Calibri" w:cs="Calibri" w:eastAsia="Calibri" w:hAnsi="Calibri"/>
          <w:sz w:val="20"/>
          <w:szCs w:val="20"/>
        </w:rPr>
        <w:t xml:space="preserve">courte (maçonnerie de chaux, ouvrages enterrés) portée par les CFA et les Compagnons, pour créer les emplois locaux du déploiement.</w:t>
      </w:r>
    </w:p>
    <w:p>
      <w:pPr>
        <w:pStyle w:val="ListParagraph"/>
        <w:numPr>
          <w:ilvl w:val="0"/>
          <w:numId w:val="3"/>
        </w:numPr>
        <w:spacing w:after="70" w:line="248"/>
        <w:jc w:val="both"/>
      </w:pPr>
      <w:r>
        <w:rPr>
          <w:rFonts w:ascii="Calibri" w:cs="Calibri" w:eastAsia="Calibri" w:hAnsi="Calibri"/>
          <w:b/>
          <w:bCs/>
          <w:sz w:val="20"/>
          <w:szCs w:val="20"/>
        </w:rPr>
        <w:t xml:space="preserve">Halles et marchés </w:t>
      </w:r>
      <w:r>
        <w:rPr>
          <w:rFonts w:ascii="Calibri" w:cs="Calibri" w:eastAsia="Calibri" w:hAnsi="Calibri"/>
          <w:sz w:val="20"/>
          <w:szCs w:val="20"/>
        </w:rPr>
        <w:t xml:space="preserve">: diagnostic systématique des sous-sols et caves voûtées existants sous les halles, et création d'un stockage passif mutualisé (12–14 °C) pour les commerçants non soumis à la chaîne du froid réglementaire (fruits et légumes, fromages, vins, conserves). Les chambres froides restantes (viande, poisson) sont pré-refroidies par géocooling, divisant leur consommation par deux à trois. Réhabilitation d'un sous-sol existant : 15 000 – 40 000 € ; ouvrage neuf : 40 000 – 120 000 €. Bénéfice résilience : les stocks passifs survivent à une coupure électrique en pleine canicule, là où les chambres froides classiques perdent tout en quelques heures.</w:t>
      </w:r>
    </w:p>
    <w:p>
      <w:pPr>
        <w:pBdr>
          <w:top w:val="single" w:color="B4C7E7" w:sz="4" w:space="4"/>
        </w:pBdr>
        <w:spacing w:after="0" w:before="160"/>
      </w:pPr>
      <w:r>
        <w:rPr>
          <w:rFonts w:ascii="Calibri" w:cs="Calibri" w:eastAsia="Calibri" w:hAnsi="Calibri"/>
          <w:i/>
          <w:iCs/>
          <w:color w:val="595959"/>
          <w:sz w:val="17"/>
          <w:szCs w:val="17"/>
        </w:rPr>
        <w:t xml:space="preserve">Chiffrages indicatifs, France métropolitaine, juillet 2026. Dossier technique détaillé (plans, coûts par ouvrage, retours d'expérience des réseaux de froid existants) disponible sur demande. Cette note prolonge le dossier « Continuité des infrastructures critiques en scénario électrique dégradé » transmis en 2026.</w:t>
      </w:r>
    </w:p>
    <w:sectPr>
      <w:pgSz w:w="11906" w:h="16838" w:orient="portrait"/>
      <w:pgMar w:top="907" w:right="1020" w:bottom="79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abstractNum w:abstractNumId="3" w15:restartNumberingAfterBreak="0">
    <w:multiLevelType w:val="hybridMultilevel"/>
    <w:lvl w:ilvl="0" w15:tentative="1">
      <w:start w:val="1"/>
      <w:numFmt w:val="decimal"/>
      <w:lvlText w:val="%1."/>
      <w:lvlJc w:val="star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2026-07-09T06:11:48.218Z</dcterms:created>
  <dcterms:modified xsi:type="dcterms:W3CDTF">2026-07-09T06:11:48.233Z</dcterms:modified>
</cp:coreProperties>
</file>

<file path=docProps/custom.xml><?xml version="1.0" encoding="utf-8"?>
<Properties xmlns="http://schemas.openxmlformats.org/officeDocument/2006/custom-properties" xmlns:vt="http://schemas.openxmlformats.org/officeDocument/2006/docPropsVTypes"/>
</file>