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alibri" w:cs="Calibri" w:eastAsia="Calibri" w:hAnsi="Calibri"/>
          <w:b/>
          <w:bCs/>
          <w:sz w:val="36"/>
          <w:szCs w:val="36"/>
        </w:rPr>
        <w:t xml:space="preserve">Auditoría del sitio «Teoría Electromagnética — Exploradores interactivos»</w:t>
      </w:r>
    </w:p>
    <w:p>
      <w:pPr>
        <w:spacing w:after="120"/>
      </w:pPr>
      <w:r>
        <w:rPr>
          <w:rFonts w:ascii="Calibri" w:cs="Calibri" w:eastAsia="Calibri" w:hAnsi="Calibri"/>
          <w:color w:val="555555"/>
          <w:sz w:val="20"/>
          <w:szCs w:val="20"/>
        </w:rPr>
        <w:t xml:space="preserve">ENES Juriquilla, UNAM · Ingeniería Aeroespacial · versión 1.1 del sitio (commit del 19 de octubre de 2026, 11:52)</w:t>
      </w:r>
    </w:p>
    <w:p>
      <w:pPr>
        <w:spacing w:after="120"/>
      </w:pPr>
      <w:r>
        <w:rPr>
          <w:rFonts w:ascii="Calibri" w:cs="Calibri" w:eastAsia="Calibri" w:hAnsi="Calibri"/>
          <w:i/>
          <w:iCs/>
          <w:sz w:val="22"/>
          <w:szCs w:val="22"/>
        </w:rPr>
        <w:t xml:space="preserve">Recorrido como estudiante, verificación de fórmulas y resultados, y propuestas de mejora</w:t>
      </w:r>
    </w:p>
    <w:p>
      <w:pPr>
        <w:spacing w:after="120"/>
      </w:pPr>
      <w:r>
        <w:rPr>
          <w:rFonts w:ascii="Calibri" w:cs="Calibri" w:eastAsia="Calibri" w:hAnsi="Calibri"/>
          <w:color w:val="555555"/>
          <w:sz w:val="20"/>
          <w:szCs w:val="20"/>
        </w:rPr>
        <w:t xml:space="preserve">Fecha: 19 de octubre de 2026 · URL auditada: https://elodiestrupiechonski.github.io/Teoria-Electromagnetica/index.html</w:t>
      </w:r>
    </w:p>
    <w:p>
      <w:pPr>
        <w:pStyle w:val="Heading1"/>
        <w:spacing w:after="160" w:before="360"/>
      </w:pPr>
      <w:r>
        <w:rPr>
          <w:rFonts w:ascii="Calibri" w:cs="Calibri" w:eastAsia="Calibri" w:hAnsi="Calibri"/>
        </w:rPr>
        <w:t xml:space="preserve">1. Resumen ejecutivo</w:t>
      </w:r>
    </w:p>
    <w:p>
      <w:pPr>
        <w:spacing w:after="120"/>
      </w:pPr>
      <w:r>
        <w:rPr>
          <w:rFonts w:ascii="Calibri" w:cs="Calibri" w:eastAsia="Calibri" w:hAnsi="Calibri"/>
          <w:sz w:val="22"/>
          <w:szCs w:val="22"/>
        </w:rPr>
        <w:t xml:space="preserve">Auditamos las 20 páginas del sitio (portada + 19 exploradores) en tres pasadas: (i) recorrido en navegador (Chromium headless, Playwright) como estudiante de 5.º semestre siguiendo el programa de la asignatura, en escritorio (1280×800) y anchura de teléfono (390 px), moviendo cada control a sus extremos, pulsando cada botón, arrastrando en los lienzos y probando atajos y navegación; (ii) extracción textual del JavaScript de física de cada explorador, ejecución con Node y comparación con una reimplementación independiente en NumPy (más de 150 casos de prueba); (iii) cotejo del contenido con el programa oficial de Teoría Electromagnética (ENES Juriquilla) y con la bibliografía básica del curso.</w:t>
      </w:r>
    </w:p>
    <w:p>
      <w:pPr>
        <w:spacing w:after="120"/>
      </w:pPr>
      <w:r>
        <w:rPr>
          <w:rFonts w:ascii="Calibri" w:cs="Calibri" w:eastAsia="Calibri" w:hAnsi="Calibri"/>
          <w:b/>
          <w:bCs/>
          <w:sz w:val="22"/>
          <w:szCs w:val="22"/>
        </w:rPr>
        <w:t xml:space="preserve">Resultado global. </w:t>
      </w:r>
      <w:r>
        <w:rPr>
          <w:rFonts w:ascii="Calibri" w:cs="Calibri" w:eastAsia="Calibri" w:hAnsi="Calibri"/>
          <w:sz w:val="22"/>
          <w:szCs w:val="22"/>
        </w:rPr>
        <w:t xml:space="preserve">El sitio es sólido: ninguna página produce errores de consola ni valores NaN/Infinity/undefined bajo ninguna combinación de controles probada; todos los enlaces existen; la navegación anterior/siguiente, el menú «Temario», los atajos de teclado y el orden por tabulación funcionan en las 20 páginas; y la aritmética de los exploradores coincide con la referencia independiente con error relativo ≤ 3×10⁻⁵ en su dominio nominal. Los problemas reales son de otro tipo:</w:t>
      </w:r>
    </w:p>
    <w:p>
      <w:pPr>
        <w:pStyle w:val="ListParagraph"/>
        <w:numPr>
          <w:ilvl w:val="0"/>
          <w:numId w:val="2"/>
        </w:numPr>
        <w:spacing w:after="60"/>
      </w:pPr>
      <w:r>
        <w:rPr>
          <w:rFonts w:ascii="Calibri" w:cs="Calibri" w:eastAsia="Calibri" w:hAnsi="Calibri"/>
          <w:b/>
          <w:bCs/>
          <w:sz w:val="22"/>
          <w:szCs w:val="22"/>
        </w:rPr>
        <w:t xml:space="preserve">Un defecto estructural que afecta a 18 de 20 páginas: </w:t>
      </w:r>
      <w:r>
        <w:rPr>
          <w:rFonts w:ascii="Calibri" w:cs="Calibri" w:eastAsia="Calibri" w:hAnsi="Calibri"/>
          <w:sz w:val="22"/>
          <w:szCs w:val="22"/>
        </w:rPr>
        <w:t xml:space="preserve">falta &lt;!DOCTYPE html&gt;, &lt;html lang="es"&gt; y la etiqueta &lt;meta name="viewport"&gt;. En un teléfono real la página se renderiza a 980 px y se reduce a escala 0.4: el lienzo queda como una miniatura y el panel de controles se sale por la derecha (captura verificada). Esto contradice la afirmación del README de que «funcionan también en pantalla de teléfono». Solo AnatomiaGrafica y CapaDielectrica están bien formadas.</w:t>
      </w:r>
    </w:p>
    <w:p>
      <w:pPr>
        <w:pStyle w:val="ListParagraph"/>
        <w:numPr>
          <w:ilvl w:val="0"/>
          <w:numId w:val="2"/>
        </w:numPr>
        <w:spacing w:after="60"/>
      </w:pPr>
      <w:r>
        <w:rPr>
          <w:rFonts w:ascii="Calibri" w:cs="Calibri" w:eastAsia="Calibri" w:hAnsi="Calibri"/>
          <w:b/>
          <w:bCs/>
          <w:sz w:val="22"/>
          <w:szCs w:val="22"/>
        </w:rPr>
        <w:t xml:space="preserve">Doce errores de física o de coherencia confirmados numéricamente </w:t>
      </w:r>
      <w:r>
        <w:rPr>
          <w:rFonts w:ascii="Calibri" w:cs="Calibri" w:eastAsia="Calibri" w:hAnsi="Calibri"/>
          <w:sz w:val="22"/>
          <w:szCs w:val="22"/>
        </w:rPr>
        <w:t xml:space="preserve">(sección 4): los más serios son la fórmula Doppler acústica aplicada a ondas EM hasta v/c = 0.7 (error del 40 %), el efecto piel calculado con δ de buen conductor en régimen cuasi‑dieléctrico (hasta −98 % en agua de mar) y con la fase de H invertida, la frontera infrarrojo/visible en 703 nm cuando la propia página la define en 750 nm, el enlace de flujo NΦ rotulado como «Flujo Φ» en Inducción, y el conteo de modos saturado en 6 en la guía de onda.</w:t>
      </w:r>
    </w:p>
    <w:p>
      <w:pPr>
        <w:pStyle w:val="ListParagraph"/>
        <w:numPr>
          <w:ilvl w:val="0"/>
          <w:numId w:val="2"/>
        </w:numPr>
        <w:spacing w:after="60"/>
      </w:pPr>
      <w:r>
        <w:rPr>
          <w:rFonts w:ascii="Calibri" w:cs="Calibri" w:eastAsia="Calibri" w:hAnsi="Calibri"/>
          <w:b/>
          <w:bCs/>
          <w:sz w:val="22"/>
          <w:szCs w:val="22"/>
        </w:rPr>
        <w:t xml:space="preserve">Metadatos desincronizados con el contenido: </w:t>
      </w:r>
      <w:r>
        <w:rPr>
          <w:rFonts w:ascii="Calibri" w:cs="Calibri" w:eastAsia="Calibri" w:hAnsi="Calibri"/>
          <w:sz w:val="22"/>
          <w:szCs w:val="22"/>
        </w:rPr>
        <w:t xml:space="preserve">zenodo.json describe «nueve exploradores», la tabla del README lista 13 y el sitio tiene 19; 16 páginas citan «Versión 1.0» (una «2.0») mientras la portada dice 1.1.</w:t>
      </w:r>
    </w:p>
    <w:p>
      <w:pPr>
        <w:pStyle w:val="ListParagraph"/>
        <w:numPr>
          <w:ilvl w:val="0"/>
          <w:numId w:val="2"/>
        </w:numPr>
        <w:spacing w:after="60"/>
      </w:pPr>
      <w:r>
        <w:rPr>
          <w:rFonts w:ascii="Calibri" w:cs="Calibri" w:eastAsia="Calibri" w:hAnsi="Calibri"/>
          <w:b/>
          <w:bCs/>
          <w:sz w:val="22"/>
          <w:szCs w:val="22"/>
        </w:rPr>
        <w:t xml:space="preserve">Cobertura del programa: </w:t>
      </w:r>
      <w:r>
        <w:rPr>
          <w:rFonts w:ascii="Calibri" w:cs="Calibri" w:eastAsia="Calibri" w:hAnsi="Calibri"/>
          <w:sz w:val="22"/>
          <w:szCs w:val="22"/>
        </w:rPr>
        <w:t xml:space="preserve">el sitio cubre 21 de los 39 subtemas del índice temático; las lagunas más visibles son la ley de Ampère como tal, las ecuaciones de Maxwell en forma fasorial, el teorema de Poynting, las condiciones de frontera, los parámetros distribuidos de la línea, la línea con pérdidas (Heaviside), los modos TM y la guía cilíndrica.</w:t>
      </w:r>
    </w:p>
    <w:p>
      <w:pPr>
        <w:spacing w:after="120"/>
      </w:pPr>
      <w:r>
        <w:rPr>
          <w:rFonts w:ascii="Calibri" w:cs="Calibri" w:eastAsia="Calibri" w:hAnsi="Calibri"/>
          <w:sz w:val="22"/>
          <w:szCs w:val="22"/>
        </w:rPr>
        <w:t xml:space="preserve">La sección 7 ordena las propuestas por prioridad. Las correcciones bloqueantes (viewport + los 12 errores confirmados) suponen cambios de pocas líneas cada una y están especificadas con número de línea y código propuesto.</w:t>
      </w:r>
    </w:p>
    <w:p>
      <w:pPr>
        <w:pStyle w:val="Heading1"/>
        <w:spacing w:after="160" w:before="360"/>
      </w:pPr>
      <w:r>
        <w:rPr>
          <w:rFonts w:ascii="Calibri" w:cs="Calibri" w:eastAsia="Calibri" w:hAnsi="Calibri"/>
        </w:rPr>
        <w:t xml:space="preserve">2. Alcance y método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rPr>
          <w:tblHeader/>
        </w:trPr>
        <w:tc>
          <w:tcPr>
            <w:tcW w:type="dxa" w:w="2000"/>
            <w:shd w:fill="E7EC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Pasada</w:t>
            </w:r>
          </w:p>
        </w:tc>
        <w:tc>
          <w:tcPr>
            <w:tcW w:type="dxa" w:w="5360"/>
            <w:shd w:fill="E7EC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Qué se hizo</w:t>
            </w:r>
          </w:p>
        </w:tc>
        <w:tc>
          <w:tcPr>
            <w:tcW w:type="dxa" w:w="2000"/>
            <w:shd w:fill="E7EC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Evidencia</w:t>
            </w:r>
          </w:p>
        </w:tc>
      </w:tr>
      <w:tr>
        <w:tc>
          <w:tcPr>
            <w:tcW w:type="dxa" w:w="2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Recorrido como estudiante</w:t>
            </w:r>
          </w:p>
        </w:tc>
        <w:tc>
          <w:tcPr>
            <w:tcW w:type="dxa" w:w="53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20 páginas × 3 anchuras (1280 px, emulación de teléfono sin viewport, 390 px forzados). Inventario de controles (rango, valores por defecto), cada control a mín/máx/intermedio y valores raros (0, negativos, vacío, 10⁹, 10⁻⁹); cada botón; arrastre en cada lienzo; menú Temario, Esc, ← →; enlaces; orden de tabulación; solapes, desbordes y tamaño mínimo de fuente; errores de consola y de página.</w:t>
            </w:r>
          </w:p>
        </w:tc>
        <w:tc>
          <w:tcPr>
            <w:tcW w:type="dxa" w:w="2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20 JSON de auditoría, 130 capturas de pantalla, script audit.py</w:t>
            </w:r>
          </w:p>
        </w:tc>
      </w:tr>
      <w:tr>
        <w:tc>
          <w:tcPr>
            <w:tcW w:type="dxa" w:w="2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Verificación de fórmulas</w:t>
            </w:r>
          </w:p>
        </w:tc>
        <w:tc>
          <w:tcPr>
            <w:tcW w:type="dxa" w:w="53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Lectura íntegra del JS de física de los 19 exploradores; extracción textual de las funciones a Node; reimplementación independiente en NumPy/SciPy (constantes CODATA 2018, Biot–Savart por integración numérica, matriz de transferencia de tres medios, Fresnel en tres convenciones, impedancia compleja, modos TE/TM); ≥ 5 casos por archivo incluyendo extremos de los controles; comprobación de que ecuaciones en pantalla, curvas y teselas describen la misma magnitud.</w:t>
            </w:r>
          </w:p>
        </w:tc>
        <w:tc>
          <w:tcPr>
            <w:tcW w:type="dxa" w:w="2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informe_U1…U4.md, js_*.js, verif*.py</w:t>
            </w:r>
          </w:p>
        </w:tc>
      </w:tr>
      <w:tr>
        <w:tc>
          <w:tcPr>
            <w:tcW w:type="dxa" w:w="2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Cobertura y pedagogía</w:t>
            </w:r>
          </w:p>
        </w:tc>
        <w:tc>
          <w:tcPr>
            <w:tcW w:type="dxa" w:w="53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Cotejo subtema por subtema con el programa oficial (PDF adjunto por la autora) y con Griffiths 4e, Ulaby 6e, Sadiku, Balanis, Pozar 4e, Hecht.</w:t>
            </w:r>
          </w:p>
        </w:tc>
        <w:tc>
          <w:tcPr>
            <w:tcW w:type="dxa" w:w="2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sección 3</w:t>
            </w:r>
          </w:p>
        </w:tc>
      </w:tr>
    </w:tbl>
    <w:p>
      <w:pPr>
        <w:spacing w:after="80"/>
      </w:pPr>
    </w:p>
    <w:p>
      <w:pPr>
        <w:spacing w:after="120"/>
      </w:pPr>
      <w:r>
        <w:rPr>
          <w:rFonts w:ascii="Calibri" w:cs="Calibri" w:eastAsia="Calibri" w:hAnsi="Calibri"/>
          <w:b/>
          <w:bCs/>
          <w:sz w:val="22"/>
          <w:szCs w:val="22"/>
        </w:rPr>
        <w:t xml:space="preserve">Convención de veredictos: </w:t>
      </w:r>
      <w:r>
        <w:rPr>
          <w:rFonts w:ascii="Calibri" w:cs="Calibri" w:eastAsia="Calibri" w:hAnsi="Calibri"/>
          <w:sz w:val="22"/>
          <w:szCs w:val="22"/>
        </w:rPr>
        <w:t xml:space="preserve">✘ error confirmado numéricamente o por inspección del código · ⚠ requiere decisión de la autora (convención, valor de tabla, alcance) · ℹ aproximación no declarada o mejora de presentación. Todo lo que no lleva ✘ es juicio nuestro, no hecho comprobado.</w:t>
      </w:r>
    </w:p>
    <w:p>
      <w:pPr>
        <w:pStyle w:val="Heading1"/>
        <w:spacing w:after="160" w:before="360"/>
      </w:pPr>
      <w:r>
        <w:rPr>
          <w:rFonts w:ascii="Calibri" w:cs="Calibri" w:eastAsia="Calibri" w:hAnsi="Calibri"/>
        </w:rPr>
        <w:t xml:space="preserve">3. Cobertura del programa oficial</w:t>
      </w:r>
    </w:p>
    <w:p>
      <w:pPr>
        <w:spacing w:after="120"/>
      </w:pPr>
      <w:r>
        <w:rPr>
          <w:rFonts w:ascii="Calibri" w:cs="Calibri" w:eastAsia="Calibri" w:hAnsi="Calibri"/>
          <w:sz w:val="22"/>
          <w:szCs w:val="22"/>
        </w:rPr>
        <w:t xml:space="preserve">Cruce entre el índice temático de la asignatura (16 semanas, 64 h teóricas + 32 h prácticas) y los exploradores existentes. «Parcial» significa que el explorador toca el subtema sin tratar el concepto que lo define.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1000"/>
        <w:gridCol w:w="3660"/>
      </w:tblGrid>
      <w:tr>
        <w:trPr>
          <w:tblHeader/>
        </w:trPr>
        <w:tc>
          <w:tcPr>
            <w:tcW w:type="dxa" w:w="2500"/>
            <w:shd w:fill="E7EC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Unidad · subtema</w:t>
            </w:r>
          </w:p>
        </w:tc>
        <w:tc>
          <w:tcPr>
            <w:tcW w:type="dxa" w:w="2200"/>
            <w:shd w:fill="E7EC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Explorador(es)</w:t>
            </w:r>
          </w:p>
        </w:tc>
        <w:tc>
          <w:tcPr>
            <w:tcW w:type="dxa" w:w="1000"/>
            <w:shd w:fill="E7EC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Cobertura</w:t>
            </w:r>
          </w:p>
        </w:tc>
        <w:tc>
          <w:tcPr>
            <w:tcW w:type="dxa" w:w="3660"/>
            <w:shd w:fill="E7EC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Qué falta</w:t>
            </w:r>
          </w:p>
        </w:tc>
      </w:tr>
      <w:tr>
        <w:tc>
          <w:tcPr>
            <w:tcW w:type="dxa" w:w="2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1.1 Campo E, densidad de flujo, Gauss</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CampoGauss</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Buena</w:t>
            </w:r>
          </w:p>
        </w:tc>
        <w:tc>
          <w:tcPr>
            <w:tcW w:type="dxa" w:w="36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 = ε₀E y ∇·D = ρ nunca aparecen; simetría cilíndrica; la superficie solo cambia de tamaño, no de forma</w:t>
            </w:r>
          </w:p>
        </w:tc>
      </w:tr>
      <w:tr>
        <w:tc>
          <w:tcPr>
            <w:tcW w:type="dxa" w:w="2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1.2 Potencial, dipolo, capacitancia</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Capacitor</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Parcial</w:t>
            </w:r>
          </w:p>
        </w:tc>
        <w:tc>
          <w:tcPr>
            <w:tcW w:type="dxa" w:w="36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V = −∫E·dl, E = −∇V, equipotenciales, dipolo, carga ligada, capacitores en serie, rigidez dieléctrica</w:t>
            </w:r>
          </w:p>
        </w:tc>
      </w:tr>
      <w:tr>
        <w:tc>
          <w:tcPr>
            <w:tcW w:type="dxa" w:w="2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1.3 Corriente, J, Ohm puntual</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Ninguna</w:t>
            </w:r>
          </w:p>
        </w:tc>
        <w:tc>
          <w:tcPr>
            <w:tcW w:type="dxa" w:w="36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Todo el subtema</w:t>
            </w:r>
          </w:p>
        </w:tc>
      </w:tr>
      <w:tr>
        <w:tc>
          <w:tcPr>
            <w:tcW w:type="dxa" w:w="2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1.4 Campo B, Ampère</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Solenoide</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Parcial</w:t>
            </w:r>
          </w:p>
        </w:tc>
        <w:tc>
          <w:tcPr>
            <w:tcW w:type="dxa" w:w="36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La ley ∮B·dl = μ₀I_enc y el circuito amperiano no aparecen (todo por Biot–Savart); alambre recto, toroide</w:t>
            </w:r>
          </w:p>
        </w:tc>
      </w:tr>
      <w:tr>
        <w:tc>
          <w:tcPr>
            <w:tcW w:type="dxa" w:w="2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1.5 Gauss magnético, potencial vectorial A</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Ninguna</w:t>
            </w:r>
          </w:p>
        </w:tc>
        <w:tc>
          <w:tcPr>
            <w:tcW w:type="dxa" w:w="36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Todo el subtema</w:t>
            </w:r>
          </w:p>
        </w:tc>
      </w:tr>
      <w:tr>
        <w:tc>
          <w:tcPr>
            <w:tcW w:type="dxa" w:w="2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1.6 Faraday</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Induccion</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Buena</w:t>
            </w:r>
          </w:p>
        </w:tc>
        <w:tc>
          <w:tcPr>
            <w:tcW w:type="dxa" w:w="36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FEM de movimiento (v×B), ∇×E = −∂B/∂t, inductancia</w:t>
            </w:r>
          </w:p>
        </w:tc>
      </w:tr>
      <w:tr>
        <w:tc>
          <w:tcPr>
            <w:tcW w:type="dxa" w:w="2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1.7 Continuidad, corriente de desplazamiento</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 (la portada lo atribuye a Induccion)</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Ninguna</w:t>
            </w:r>
          </w:p>
        </w:tc>
        <w:tc>
          <w:tcPr>
            <w:tcW w:type="dxa" w:w="36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Todo el subtema; corregir la etiqueta «1.6–1.7» de la portada</w:t>
            </w:r>
          </w:p>
        </w:tc>
      </w:tr>
      <w:tr>
        <w:tc>
          <w:tcPr>
            <w:tcW w:type="dxa" w:w="2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1.8–1.10 Maxwell variable en t, fasores, forma fasorial</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RC (fasores de circuito)</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Parcial</w:t>
            </w:r>
          </w:p>
        </w:tc>
        <w:tc>
          <w:tcPr>
            <w:tcW w:type="dxa" w:w="36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Transformación v(t) ↔ Ṽ y d/dt → jω explícitas; ecuaciones de Maxwell fasoriales; convención e^{jωt}</w:t>
            </w:r>
          </w:p>
        </w:tc>
      </w:tr>
      <w:tr>
        <w:tc>
          <w:tcPr>
            <w:tcW w:type="dxa" w:w="2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2.1–2.4 Ecuación de onda, solución plana, medios</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MicroondasC</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Parcial</w:t>
            </w:r>
          </w:p>
        </w:tc>
        <w:tc>
          <w:tcPr>
            <w:tcW w:type="dxa" w:w="36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 = 1/√(μ₀ε₀), k, ω, ecuación de onda; propagación en medio material (solo aparece en U3)</w:t>
            </w:r>
          </w:p>
        </w:tc>
      </w:tr>
      <w:tr>
        <w:tc>
          <w:tcPr>
            <w:tcW w:type="dxa" w:w="2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2.5 Onda TEM</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 (Polarizacion lo supone)</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Ninguna</w:t>
            </w:r>
          </w:p>
        </w:tc>
        <w:tc>
          <w:tcPr>
            <w:tcW w:type="dxa" w:w="36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 ⊥ H ⊥ k, η = E/H, animación 3D de la onda</w:t>
            </w:r>
          </w:p>
        </w:tc>
      </w:tr>
      <w:tr>
        <w:tc>
          <w:tcPr>
            <w:tcW w:type="dxa" w:w="2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2.6 Tangente de pérdidas, clasificación de medios</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EfectoPiel</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Parcial</w:t>
            </w:r>
          </w:p>
        </w:tc>
        <w:tc>
          <w:tcPr>
            <w:tcW w:type="dxa" w:w="36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Solo buen conductor; tan δ no se muestra; α y β generales; dieléctrico con pérdidas bajas</w:t>
            </w:r>
          </w:p>
        </w:tc>
      </w:tr>
      <w:tr>
        <w:tc>
          <w:tcPr>
            <w:tcW w:type="dxa" w:w="2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2.7 Poynting</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Ninguna</w:t>
            </w:r>
          </w:p>
        </w:tc>
        <w:tc>
          <w:tcPr>
            <w:tcW w:type="dxa" w:w="36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Todo el subtema</w:t>
            </w:r>
          </w:p>
        </w:tc>
      </w:tr>
      <w:tr>
        <w:tc>
          <w:tcPr>
            <w:tcW w:type="dxa" w:w="2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2.8 Polarización</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Polarizacion</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Buena</w:t>
            </w:r>
          </w:p>
        </w:tc>
        <w:tc>
          <w:tcPr>
            <w:tcW w:type="dxa" w:w="36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Nomenclatura RHCP/LHCP con convención; ψ y χ; forma fasorial</w:t>
            </w:r>
          </w:p>
        </w:tc>
      </w:tr>
      <w:tr>
        <w:tc>
          <w:tcPr>
            <w:tcW w:type="dxa" w:w="2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2.9 Doppler</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Doppler</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Parcial</w:t>
            </w:r>
          </w:p>
        </w:tc>
        <w:tc>
          <w:tcPr>
            <w:tcW w:type="dxa" w:w="36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Fórmula relativista; distinción cinemático/cosmológico</w:t>
            </w:r>
          </w:p>
        </w:tc>
      </w:tr>
      <w:tr>
        <w:tc>
          <w:tcPr>
            <w:tcW w:type="dxa" w:w="2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3.1 Condiciones de frontera</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Ninguna</w:t>
            </w:r>
          </w:p>
        </w:tc>
        <w:tc>
          <w:tcPr>
            <w:tcW w:type="dxa" w:w="36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Todo el subtema (se usan implícitamente en 3.2)</w:t>
            </w:r>
          </w:p>
        </w:tc>
      </w:tr>
      <w:tr>
        <w:tc>
          <w:tcPr>
            <w:tcW w:type="dxa" w:w="2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3.2 Incidencia normal</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Reflexion</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Buena</w:t>
            </w:r>
          </w:p>
        </w:tc>
        <w:tc>
          <w:tcPr>
            <w:tcW w:type="dxa" w:w="36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Γ &gt; 0 inalcanzable (medio 1 fijo); balance 1 = |Γ|² + (η₁/η₂)|τ|²; onda de H; conductor con σ finita</w:t>
            </w:r>
          </w:p>
        </w:tc>
      </w:tr>
      <w:tr>
        <w:tc>
          <w:tcPr>
            <w:tcW w:type="dxa" w:w="2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3.3 Varios dieléctricos, λ/2 y λ/4</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CapaTresMedios, CapaDielectrica</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Completa</w:t>
            </w:r>
          </w:p>
        </w:tc>
        <w:tc>
          <w:tcPr>
            <w:tcW w:type="dxa" w:w="36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Respuesta en frecuencia a d fijo (ancho de banda)</w:t>
            </w:r>
          </w:p>
        </w:tc>
      </w:tr>
      <w:tr>
        <w:tc>
          <w:tcPr>
            <w:tcW w:type="dxa" w:w="2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3.4 Ondas orientadas arbitrariamente</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Ninguna</w:t>
            </w:r>
          </w:p>
        </w:tc>
        <w:tc>
          <w:tcPr>
            <w:tcW w:type="dxa" w:w="36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Todo el subtema</w:t>
            </w:r>
          </w:p>
        </w:tc>
      </w:tr>
      <w:tr>
        <w:tc>
          <w:tcPr>
            <w:tcW w:type="dxa" w:w="2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3.5 Snell, leyes de reflexión/refracción</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Snell</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Buena</w:t>
            </w:r>
          </w:p>
        </w:tc>
        <w:tc>
          <w:tcPr>
            <w:tcW w:type="dxa" w:w="36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Cambio de λ entre medios</w:t>
            </w:r>
          </w:p>
        </w:tc>
      </w:tr>
      <w:tr>
        <w:tc>
          <w:tcPr>
            <w:tcW w:type="dxa" w:w="2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3.6–3.7 Incidencia oblicua, crítico, Brewster</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Fresnel, Snell</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Buena</w:t>
            </w:r>
          </w:p>
        </w:tc>
        <w:tc>
          <w:tcPr>
            <w:tcW w:type="dxa" w:w="36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τ⊥, τ∥, T⊥, T∥ y R + T = 1; fase de Γ en reflexión total; onda evanescente</w:t>
            </w:r>
          </w:p>
        </w:tc>
      </w:tr>
      <w:tr>
        <w:tc>
          <w:tcPr>
            <w:tcW w:type="dxa" w:w="2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3.8 Aplicaciones en óptica</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Snell (fibra)</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Parcial</w:t>
            </w:r>
          </w:p>
        </w:tc>
        <w:tc>
          <w:tcPr>
            <w:tcW w:type="dxa" w:w="36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Apertura numérica; polarizador de Brewster</w:t>
            </w:r>
          </w:p>
        </w:tc>
      </w:tr>
      <w:tr>
        <w:tc>
          <w:tcPr>
            <w:tcW w:type="dxa" w:w="2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4.1–4.2 Estructuras, parámetros distribuidos</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Ninguna</w:t>
            </w:r>
          </w:p>
        </w:tc>
        <w:tc>
          <w:tcPr>
            <w:tcW w:type="dxa" w:w="36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Coaxial/paralela, L y C por unidad de longitud, Z₀ = √(L/C), modelo RLGC</w:t>
            </w:r>
          </w:p>
        </w:tc>
      </w:tr>
      <w:tr>
        <w:tc>
          <w:tcPr>
            <w:tcW w:type="dxa" w:w="2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4.3–4.4 Línea infinita y terminada</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LineaTransmision</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Buena</w:t>
            </w:r>
          </w:p>
        </w:tc>
        <w:tc>
          <w:tcPr>
            <w:tcW w:type="dxa" w:w="36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Caso abierto en el formulario; posición de máximos; potencia entregada</w:t>
            </w:r>
          </w:p>
        </w:tc>
      </w:tr>
      <w:tr>
        <w:tc>
          <w:tcPr>
            <w:tcW w:type="dxa" w:w="2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4.5 Elementos reactivos con líneas cortas</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Ninguna</w:t>
            </w:r>
          </w:p>
        </w:tc>
        <w:tc>
          <w:tcPr>
            <w:tcW w:type="dxa" w:w="36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Todo el subtema</w:t>
            </w:r>
          </w:p>
        </w:tc>
      </w:tr>
      <w:tr>
        <w:tc>
          <w:tcPr>
            <w:tcW w:type="dxa" w:w="2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4.6 Pérdidas, Heaviside</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Ninguna</w:t>
            </w:r>
          </w:p>
        </w:tc>
        <w:tc>
          <w:tcPr>
            <w:tcW w:type="dxa" w:w="36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Todo el subtema</w:t>
            </w:r>
          </w:p>
        </w:tc>
      </w:tr>
      <w:tr>
        <w:tc>
          <w:tcPr>
            <w:tcW w:type="dxa" w:w="2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4.7–4.8 Carta de Smith</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Smith</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Parcial</w:t>
            </w:r>
          </w:p>
        </w:tc>
        <w:tc>
          <w:tcPr>
            <w:tcW w:type="dxa" w:w="36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Admitancia (punto diametral), stubs, escala exterior en λ, etiquetas de x</w:t>
            </w:r>
          </w:p>
        </w:tc>
      </w:tr>
      <w:tr>
        <w:tc>
          <w:tcPr>
            <w:tcW w:type="dxa" w:w="2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4.9 Transformador λ/4</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LineaTransmision, Smith, CapaDielectrica (analogía)</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Parcial</w:t>
            </w:r>
          </w:p>
        </w:tc>
        <w:tc>
          <w:tcPr>
            <w:tcW w:type="dxa" w:w="36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Modo «diseño» Z₁ = √(Z₀Z_L)</w:t>
            </w:r>
          </w:p>
        </w:tc>
      </w:tr>
      <w:tr>
        <w:tc>
          <w:tcPr>
            <w:tcW w:type="dxa" w:w="2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4.10 Placas paralelas, TEM/TE/TM</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Ninguna</w:t>
            </w:r>
          </w:p>
        </w:tc>
        <w:tc>
          <w:tcPr>
            <w:tcW w:type="dxa" w:w="36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Todo el subtema</w:t>
            </w:r>
          </w:p>
        </w:tc>
      </w:tr>
      <w:tr>
        <w:tc>
          <w:tcPr>
            <w:tcW w:type="dxa" w:w="2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4.11 Guía rectangular</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GuiaOnda</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Buena</w:t>
            </w:r>
          </w:p>
        </w:tc>
        <w:tc>
          <w:tcPr>
            <w:tcW w:type="dxa" w:w="36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Modos TM, Z_TE/Z_TM, diagrama ω–β, atenuación</w:t>
            </w:r>
          </w:p>
        </w:tc>
      </w:tr>
      <w:tr>
        <w:tc>
          <w:tcPr>
            <w:tcW w:type="dxa" w:w="2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4.12 Guía cilíndrica</w:t>
            </w:r>
          </w:p>
        </w:tc>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t>
            </w:r>
          </w:p>
        </w:tc>
        <w:tc>
          <w:tcPr>
            <w:tcW w:type="dxa" w:w="1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Ninguna</w:t>
            </w:r>
          </w:p>
        </w:tc>
        <w:tc>
          <w:tcPr>
            <w:tcW w:type="dxa" w:w="36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Todo el subtema</w:t>
            </w:r>
          </w:p>
        </w:tc>
      </w:tr>
    </w:tbl>
    <w:p>
      <w:pPr>
        <w:spacing w:after="80"/>
      </w:pPr>
    </w:p>
    <w:p>
      <w:pPr>
        <w:spacing w:after="120"/>
      </w:pPr>
      <w:r>
        <w:rPr>
          <w:rFonts w:ascii="Calibri" w:cs="Calibri" w:eastAsia="Calibri" w:hAnsi="Calibri"/>
          <w:sz w:val="22"/>
          <w:szCs w:val="22"/>
        </w:rPr>
        <w:t xml:space="preserve">Balance: 21 subtemas con explorador (8 buenos/completos, 13 parciales), 18 sin ninguno. La unidad 4 tiene las 20 h teóricas del programa y la cobertura más delgada en proporción.</w:t>
      </w:r>
    </w:p>
    <w:p>
      <w:pPr>
        <w:pStyle w:val="Heading1"/>
        <w:spacing w:after="160" w:before="360"/>
      </w:pPr>
      <w:r>
        <w:rPr>
          <w:rFonts w:ascii="Calibri" w:cs="Calibri" w:eastAsia="Calibri" w:hAnsi="Calibri"/>
        </w:rPr>
        <w:t xml:space="preserve">4. Errores confirmados (✘)</w:t>
      </w:r>
    </w:p>
    <w:p>
      <w:pPr>
        <w:spacing w:after="120"/>
      </w:pPr>
      <w:r>
        <w:rPr>
          <w:rFonts w:ascii="Calibri" w:cs="Calibri" w:eastAsia="Calibri" w:hAnsi="Calibri"/>
          <w:sz w:val="22"/>
          <w:szCs w:val="22"/>
        </w:rPr>
        <w:t xml:space="preserve">Cada entrada fue reproducida con los valores indicados; la columna «Corrección» contiene código o fórmula lista para aplicar. Las líneas corresponden a los archivos del commit auditado.</w:t>
      </w:r>
    </w:p>
    <w:p>
      <w:pPr>
        <w:pStyle w:val="Heading2"/>
        <w:spacing w:after="120" w:before="280"/>
      </w:pPr>
      <w:r>
        <w:rPr>
          <w:rFonts w:ascii="Calibri" w:cs="Calibri" w:eastAsia="Calibri" w:hAnsi="Calibri"/>
        </w:rPr>
        <w:t xml:space="preserve">4.1 Física y coherencia de contenidos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3900"/>
        <w:gridCol w:w="3060"/>
      </w:tblGrid>
      <w:tr>
        <w:trPr>
          <w:tblHeader/>
        </w:trPr>
        <w:tc>
          <w:tcPr>
            <w:tcW w:type="dxa" w:w="500"/>
            <w:shd w:fill="E7EC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w:t>
            </w:r>
          </w:p>
        </w:tc>
        <w:tc>
          <w:tcPr>
            <w:tcW w:type="dxa" w:w="1900"/>
            <w:shd w:fill="E7EC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Archivo · línea</w:t>
            </w:r>
          </w:p>
        </w:tc>
        <w:tc>
          <w:tcPr>
            <w:tcW w:type="dxa" w:w="3900"/>
            <w:shd w:fill="E7EC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Problema (reproducción)</w:t>
            </w:r>
          </w:p>
        </w:tc>
        <w:tc>
          <w:tcPr>
            <w:tcW w:type="dxa" w:w="3060"/>
            <w:shd w:fill="E7EC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Corrección propuesta</w:t>
            </w:r>
          </w:p>
        </w:tc>
      </w:tr>
      <w:tr>
        <w:tc>
          <w:tcPr>
            <w:tcW w:type="dxa" w:w="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E1</w:t>
            </w:r>
          </w:p>
        </w:tc>
        <w:tc>
          <w:tcPr>
            <w:tcW w:type="dxa" w:w="1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Doppler_explorador.html · 122, 186, 210–211, 254–255</w:t>
            </w:r>
          </w:p>
        </w:tc>
        <w:tc>
          <w:tcPr>
            <w:tcW w:type="dxa" w:w="3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Se usa f′ = f/(1 ∓ v/c), la fórmula acústica de fuente móvil, bajo el título «Doppler en ondas electromagnéticas», con control hasta v/c = 0.7. Error respecto a la fórmula relativista: +0.5 % (β = 0.1), +15.5 % (0.5), +40 % (0.7). La nota al pie no declara que es la aproximación no relativista.</w:t>
            </w:r>
          </w:p>
        </w:tc>
        <w:tc>
          <w:tcPr>
            <w:tcW w:type="dxa" w:w="30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fup = Math.sqrt((1+beta)/(1-beta)); fdn = Math.sqrt((1-beta)/(1+beta)); mostrar f′ = f·√((1 ± v/c)/(1 ∓ v/c)) y, opcionalmente, dibujar ambas curvas para que el estudiante vea dónde divergen. Alternativa mínima: limitar el control a v/c ≤ 0.1 y declarar la aproximación.</w:t>
            </w:r>
          </w:p>
        </w:tc>
      </w:tr>
      <w:tr>
        <w:tc>
          <w:tcPr>
            <w:tcW w:type="dxa" w:w="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E2</w:t>
            </w:r>
          </w:p>
        </w:tc>
        <w:tc>
          <w:tcPr>
            <w:tcW w:type="dxa" w:w="1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EfectoPiel_explorador.html · 171</w:t>
            </w:r>
          </w:p>
        </w:tc>
        <w:tc>
          <w:tcPr>
            <w:tcW w:type="dxa" w:w="3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H se dibuja con cos(u − t − lag): adelantada 45° respecto de E. El texto (l. 108, 119) y Griffiths §9.4.1 dicen que H se retrasa θ_η. Verificado: el pico de H ocurre en t = −lag.</w:t>
            </w:r>
          </w:p>
        </w:tc>
        <w:tc>
          <w:tcPr>
            <w:tcW w:type="dxa" w:w="30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Math.cos(uh - t + lag)</w:t>
            </w:r>
          </w:p>
        </w:tc>
      </w:tr>
      <w:tr>
        <w:tc>
          <w:tcPr>
            <w:tcW w:type="dxa" w:w="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E3</w:t>
            </w:r>
          </w:p>
        </w:tc>
        <w:tc>
          <w:tcPr>
            <w:tcW w:type="dxa" w:w="1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EfectoPiel_explorador.html · 140, 150–151</w:t>
            </w:r>
          </w:p>
        </w:tc>
        <w:tc>
          <w:tcPr>
            <w:tcW w:type="dxa" w:w="3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δ = 1/√(πfμσ) (buen conductor) se aplica en todo régimen aunque el panel rotule «intermedio» o «cuasi‑dieléctrico». Agua de mar a 1 GHz: δ mostrado 7.96 mm, real (Ulaby ec. 7.66) 12.9 mm (−38 %); a 1 THz: 0.25 mm vs 12 mm (−98 %). R_s y la curva δ(f) heredan el error.</w:t>
            </w:r>
          </w:p>
        </w:tc>
        <w:tc>
          <w:tcPr>
            <w:tcW w:type="dxa" w:w="30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Usar α general: w=2πf; eps=er·ε₀; q=σ/(w·eps); a=w·√(μ₀·eps/2)·√(√(1+q²)−1); b=w·√(μ₀·eps/2)·√(√(1+q²)+1); δ=1/a; mostrar α ≠ β. O bien limitar f a tan δ ≥ 10 y decirlo.</w:t>
            </w:r>
          </w:p>
        </w:tc>
      </w:tr>
      <w:tr>
        <w:tc>
          <w:tcPr>
            <w:tcW w:type="dxa" w:w="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E4</w:t>
            </w:r>
          </w:p>
        </w:tc>
        <w:tc>
          <w:tcPr>
            <w:tcW w:type="dxa" w:w="1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Espectro_explorador.html · 144–145</w:t>
            </w:r>
          </w:p>
        </w:tc>
        <w:tc>
          <w:tcPr>
            <w:tcW w:type="dxa" w:w="3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La frontera infrarrojo/visible está en log f = 14.63 (702.8 nm) mientras el gradiente, el zoom y el texto (l. 106, 245, 267) la ponen en 750 nm. A 750 nm la tesela dice «Infrarrojo» y el color «rojo» a la vez.</w:t>
            </w:r>
          </w:p>
        </w:tc>
        <w:tc>
          <w:tcPr>
            <w:tcW w:type="dxa" w:w="30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{a:13, b:14.602, …Infrarrojo}, {a:14.602, b:14.897, c:"rainbow"}, {a:14.897, b:16.5, …UV} (14.602 = log₁₀(c/750 nm)).</w:t>
            </w:r>
          </w:p>
        </w:tc>
      </w:tr>
      <w:tr>
        <w:tc>
          <w:tcPr>
            <w:tcW w:type="dxa" w:w="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E5</w:t>
            </w:r>
          </w:p>
        </w:tc>
        <w:tc>
          <w:tcPr>
            <w:tcW w:type="dxa" w:w="1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Induccion_explorador.html · 90, 126, 128, 157 vs 99–100</w:t>
            </w:r>
          </w:p>
        </w:tc>
        <w:tc>
          <w:tcPr>
            <w:tcW w:type="dxa" w:w="3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La tesela «Flujo Φ» muestra NΦ (2.83 mWb con B₀ = 20 mT, R = 3 cm, N = 50; Φ real = 56.5 µWb), mientras el formulario define Φ = B·A y FEM = −N dΦ/dt.</w:t>
            </w:r>
          </w:p>
        </w:tc>
        <w:tc>
          <w:tcPr>
            <w:tcW w:type="dxa" w:w="30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Quitar N de phiNow (l. 126, 128) y poner fem = −N·(phi − phiPrev)/DT en l. 152; o renombrar tesela y traza «Enlace de flujo NΦ».</w:t>
            </w:r>
          </w:p>
        </w:tc>
      </w:tr>
      <w:tr>
        <w:tc>
          <w:tcPr>
            <w:tcW w:type="dxa" w:w="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E6</w:t>
            </w:r>
          </w:p>
        </w:tc>
        <w:tc>
          <w:tcPr>
            <w:tcW w:type="dxa" w:w="1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Induccion_explorador.html · 94</w:t>
            </w:r>
          </w:p>
        </w:tc>
        <w:tc>
          <w:tcPr>
            <w:tcW w:type="dxa" w:w="3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Texto: «la FEM va 90° adelantada respecto de Φ». Con Φ ∝ sen ωt, FEM ∝ −cos ωt = sen(ωt − 90°): va retrasada.</w:t>
            </w:r>
          </w:p>
        </w:tc>
        <w:tc>
          <w:tcPr>
            <w:tcW w:type="dxa" w:w="30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«la FEM va 90° retrasada respecto de Φ (la derivada adelanta 90° y el signo de Lenz da media vuelta)».</w:t>
            </w:r>
          </w:p>
        </w:tc>
      </w:tr>
      <w:tr>
        <w:tc>
          <w:tcPr>
            <w:tcW w:type="dxa" w:w="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E7</w:t>
            </w:r>
          </w:p>
        </w:tc>
        <w:tc>
          <w:tcPr>
            <w:tcW w:type="dxa" w:w="1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Induccion_explorador.html · 162–163 (con 179–182)</w:t>
            </w:r>
          </w:p>
        </w:tc>
        <w:tc>
          <w:tcPr>
            <w:tcW w:type="dxa" w:w="3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Sentido de la corriente de Lenz invertido respecto del dibujo (polo N hacia la espira): al crecer Φ la corriente debe ser antihoraria vista desde el imán; el código dice «horaria». Confirmado por regla de la mano derecha, no numéricamente: conviene que la autora lo verifique.</w:t>
            </w:r>
          </w:p>
        </w:tc>
        <w:tc>
          <w:tcPr>
            <w:tcW w:type="dxa" w:w="30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Intercambiar los textos de l. 162–163 (o dibujar el polo S hacia la espira). En modo B(t) sustituir «vista desde el imán» por «vista de frente (⊙ hacia ti)».</w:t>
            </w:r>
          </w:p>
        </w:tc>
      </w:tr>
      <w:tr>
        <w:tc>
          <w:tcPr>
            <w:tcW w:type="dxa" w:w="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E8</w:t>
            </w:r>
          </w:p>
        </w:tc>
        <w:tc>
          <w:tcPr>
            <w:tcW w:type="dxa" w:w="1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RC_interactivo.html · 252–255</w:t>
            </w:r>
          </w:p>
        </w:tc>
        <w:tc>
          <w:tcPr>
            <w:tcW w:type="dxa" w:w="3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El corchete rotulado «Δt» une el cero de V_R en θ = 2π − φ con el cero de V_in en θ = 0: mide T − Δt. Con los valores por defecto ocupa el 33.6 % del ancho cuando Δt es el 6.4 % (factor 5.2).</w:t>
            </w:r>
          </w:p>
        </w:tc>
        <w:tc>
          <w:tcPr>
            <w:tcW w:type="dxa" w:w="30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var xA = mk(2*Math.PI, css("--vin")), xB = mk(-phi, css("--vr")); (ceros del mismo ciclo).</w:t>
            </w:r>
          </w:p>
        </w:tc>
      </w:tr>
      <w:tr>
        <w:tc>
          <w:tcPr>
            <w:tcW w:type="dxa" w:w="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E9</w:t>
            </w:r>
          </w:p>
        </w:tc>
        <w:tc>
          <w:tcPr>
            <w:tcW w:type="dxa" w:w="1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Polarizacion_explorador.html · 164, 250</w:t>
            </w:r>
          </w:p>
        </w:tc>
        <w:tc>
          <w:tcPr>
            <w:tcW w:type="dxa" w:w="3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Se clasifica «Circular» con tolerancia |sin δ − 1| &lt; 0.04, que admite δ ∈ (73.7°, 106.3°) y relación axial hasta 1.33; el veredicto fijo «−3 dB sin importar la orientación» lo desmiente el propio medidor (A = B = 1, δ = 74°: −2.0 dB a 45°, −4.4 dB a 135°).</w:t>
            </w:r>
          </w:p>
        </w:tc>
        <w:tc>
          <w:tcPr>
            <w:tcW w:type="dxa" w:w="30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Clasificar por relación axial: circ = ar &lt; 1.05 (o tolerancias 0.002/0.01), y calcular el veredicto con el PLF real.</w:t>
            </w:r>
          </w:p>
        </w:tc>
      </w:tr>
      <w:tr>
        <w:tc>
          <w:tcPr>
            <w:tcW w:type="dxa" w:w="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E10</w:t>
            </w:r>
          </w:p>
        </w:tc>
        <w:tc>
          <w:tcPr>
            <w:tcW w:type="dxa" w:w="1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MicroondasC_explorador.html · 225–226</w:t>
            </w:r>
          </w:p>
        </w:tc>
        <w:tc>
          <w:tcPr>
            <w:tcW w:type="dxa" w:w="3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Para f &lt; 188 MHz (alcanzable por la casilla numérica, mín. 100) solo cabe un antinodo en la ventana de 120 cm; el ajuste automático toma h₂ = W y devuelve c = 0.90×10⁸ m/s (−70 %).</w:t>
            </w:r>
          </w:p>
        </w:tc>
        <w:tc>
          <w:tcPr>
            <w:tcW w:type="dxa" w:w="30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Mínimo de fnum = 200 MHz; o quitar el tope de 120 cm en win(); o fallback h2 = h1 + lam()/2 con aviso si h₂ &gt; W.</w:t>
            </w:r>
          </w:p>
        </w:tc>
      </w:tr>
      <w:tr>
        <w:tc>
          <w:tcPr>
            <w:tcW w:type="dxa" w:w="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E11</w:t>
            </w:r>
          </w:p>
        </w:tc>
        <w:tc>
          <w:tcPr>
            <w:tcW w:type="dxa" w:w="1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GuiaOnda_explorador.html · 124, 129, 146–149</w:t>
            </w:r>
          </w:p>
        </w:tc>
        <w:tc>
          <w:tcPr>
            <w:tcW w:type="dxa" w:w="3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modos() solo enumera m, n ≤ 3 y conserva 6 entradas; el estado se satura en «6 modos se propagan» (WR‑90 a 40 GHz tiene ≥ 12 TE más los TM; WR‑284 desde 6.3 GHz). Con a/b &gt; 3 (p. ej. b = 2 mm) TE40 y TE50 quedan fuera del mapa aunque corten antes que TE01. Reproducido en vivo.</w:t>
            </w:r>
          </w:p>
        </w:tc>
        <w:tc>
          <w:tcPr>
            <w:tcW w:type="dxa" w:w="30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Enumerar m, n hasta ~12, no truncar la lista para contar, dibujar solo los cortes &lt; f_max del eje, y contar TE y TM por separado (los (m,n) con m,n ≥ 1 son dobles).</w:t>
            </w:r>
          </w:p>
        </w:tc>
      </w:tr>
      <w:tr>
        <w:tc>
          <w:tcPr>
            <w:tcW w:type="dxa" w:w="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E12</w:t>
            </w:r>
          </w:p>
        </w:tc>
        <w:tc>
          <w:tcPr>
            <w:tcW w:type="dxa" w:w="1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AnatomiaGrafica_explorador.html · 397</w:t>
            </w:r>
          </w:p>
        </w:tc>
        <w:tc>
          <w:tcPr>
            <w:tcW w:type="dxa" w:w="39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El script generado escribe np.linspace(1e&lt;a&gt;, 1e&lt;b&gt;, N); con exponente no entero (los campos «f mínima: 10^» admiten decimales) produce 1e2.5 → SyntaxError en Python. Reproducido con matplotlib 3.11.</w:t>
            </w:r>
          </w:p>
        </w:tc>
        <w:tc>
          <w:tcPr>
            <w:tcW w:type="dxa" w:w="30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np.linspace(10**a, 10**b, N).</w:t>
            </w:r>
          </w:p>
        </w:tc>
      </w:tr>
    </w:tbl>
    <w:p>
      <w:pPr>
        <w:spacing w:after="80"/>
      </w:pPr>
    </w:p>
    <w:p>
      <w:pPr>
        <w:pStyle w:val="Heading2"/>
        <w:spacing w:after="120" w:before="280"/>
      </w:pPr>
      <w:r>
        <w:rPr>
          <w:rFonts w:ascii="Calibri" w:cs="Calibri" w:eastAsia="Calibri" w:hAnsi="Calibri"/>
        </w:rPr>
        <w:t xml:space="preserve">4.2 Estructura y metadatos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800"/>
        <w:gridCol w:w="3060"/>
      </w:tblGrid>
      <w:tr>
        <w:trPr>
          <w:tblHeader/>
        </w:trPr>
        <w:tc>
          <w:tcPr>
            <w:tcW w:type="dxa" w:w="500"/>
            <w:shd w:fill="E7EC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w:t>
            </w:r>
          </w:p>
        </w:tc>
        <w:tc>
          <w:tcPr>
            <w:tcW w:type="dxa" w:w="2000"/>
            <w:shd w:fill="E7EC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Dónde</w:t>
            </w:r>
          </w:p>
        </w:tc>
        <w:tc>
          <w:tcPr>
            <w:tcW w:type="dxa" w:w="3800"/>
            <w:shd w:fill="E7EC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Problema</w:t>
            </w:r>
          </w:p>
        </w:tc>
        <w:tc>
          <w:tcPr>
            <w:tcW w:type="dxa" w:w="3060"/>
            <w:shd w:fill="E7EC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Corrección</w:t>
            </w:r>
          </w:p>
        </w:tc>
      </w:tr>
      <w:tr>
        <w:tc>
          <w:tcPr>
            <w:tcW w:type="dxa" w:w="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S1</w:t>
            </w:r>
          </w:p>
        </w:tc>
        <w:tc>
          <w:tcPr>
            <w:tcW w:type="dxa" w:w="2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18 de 20 páginas (todas salvo AnatomiaGrafica y CapaDielectrica), incluida la portada</w:t>
            </w:r>
          </w:p>
        </w:tc>
        <w:tc>
          <w:tcPr>
            <w:tcW w:type="dxa" w:w="38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Sin &lt;!DOCTYPE html&gt; (modo quirks), sin &lt;html lang="es"&gt; y sin &lt;meta name="viewport" content="width=device-width, initial-scale=1"&gt;. En teléfono la página se renderiza a 980 px y se escala a 0.4: lienzo como miniatura, controles que se salen del panel, texto ilegible sin zoom.</w:t>
            </w:r>
          </w:p>
        </w:tc>
        <w:tc>
          <w:tcPr>
            <w:tcW w:type="dxa" w:w="30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Añadir las tres líneas al inicio de cada archivo (ya existe add_navegacion.py: añadir el mismo mecanismo idempotente). Verificar después a 390 px: los desbordes listados en S4 se harán visibles.</w:t>
            </w:r>
          </w:p>
        </w:tc>
      </w:tr>
      <w:tr>
        <w:tc>
          <w:tcPr>
            <w:tcW w:type="dxa" w:w="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S2</w:t>
            </w:r>
          </w:p>
        </w:tc>
        <w:tc>
          <w:tcPr>
            <w:tcW w:type="dxa" w:w="2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README.md (tabla), zenodo.json (description), CITATION.cff</w:t>
            </w:r>
          </w:p>
        </w:tc>
        <w:tc>
          <w:tcPr>
            <w:tcW w:type="dxa" w:w="38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README lista 13 de 19 exploradores; Zenodo dice «nueve exploradores»; CITATION.cff es type: dataset mientras Zenodo es upload_type: lesson; date‑released 2026‑09‑29 para una v1.1 publicada hoy.</w:t>
            </w:r>
          </w:p>
        </w:tc>
        <w:tc>
          <w:tcPr>
            <w:tcW w:type="dxa" w:w="30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Regenerar la tabla desde index.html; redactar la descripción con las cuatro unidades; unificar tipo y fecha; subir la versión de Zenodo (el DOI de concepto se mantiene).</w:t>
            </w:r>
          </w:p>
        </w:tc>
      </w:tr>
      <w:tr>
        <w:tc>
          <w:tcPr>
            <w:tcW w:type="dxa" w:w="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S3</w:t>
            </w:r>
          </w:p>
        </w:tc>
        <w:tc>
          <w:tcPr>
            <w:tcW w:type="dxa" w:w="2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17 páginas: bloque «Cómo citar»</w:t>
            </w:r>
          </w:p>
        </w:tc>
        <w:tc>
          <w:tcPr>
            <w:tcW w:type="dxa" w:w="38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16 páginas citan «Versión 1.0» y AnatomiaGrafica «Versión 2.0»; la portada y Reflexion citan 1.1. Un lector que cite un explorador suelto citará una versión que no existe en Zenodo.</w:t>
            </w:r>
          </w:p>
        </w:tc>
        <w:tc>
          <w:tcPr>
            <w:tcW w:type="dxa" w:w="30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Centralizar la cadena de versión en set_doi_em.py (ya actualiza el DOI) y reescribir todas las páginas.</w:t>
            </w:r>
          </w:p>
        </w:tc>
      </w:tr>
      <w:tr>
        <w:tc>
          <w:tcPr>
            <w:tcW w:type="dxa" w:w="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S4</w:t>
            </w:r>
          </w:p>
        </w:tc>
        <w:tc>
          <w:tcPr>
            <w:tcW w:type="dxa" w:w="2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Portada vs barra de navegación</w:t>
            </w:r>
          </w:p>
        </w:tc>
        <w:tc>
          <w:tcPr>
            <w:tcW w:type="dxa" w:w="38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En index.html la sección «Transversales» va antes de la Unidad 4; la barra ‹ › y el menú Temario ponen Transversales al final (…GuiaOnda → Espectro → Anatomía). Un estudiante que sigue las flechas no pasa por el mismo orden que ve en la portada.</w:t>
            </w:r>
          </w:p>
        </w:tc>
        <w:tc>
          <w:tcPr>
            <w:tcW w:type="dxa" w:w="30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Mover Transversales al final de la portada (o al principio, como «herramientas», y ajustar la barra).</w:t>
            </w:r>
          </w:p>
        </w:tc>
      </w:tr>
      <w:tr>
        <w:tc>
          <w:tcPr>
            <w:tcW w:type="dxa" w:w="5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S5</w:t>
            </w:r>
          </w:p>
        </w:tc>
        <w:tc>
          <w:tcPr>
            <w:tcW w:type="dxa" w:w="20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Portada, tarjeta de Inducción</w:t>
            </w:r>
          </w:p>
        </w:tc>
        <w:tc>
          <w:tcPr>
            <w:tcW w:type="dxa" w:w="38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La tarjeta y el menú dicen «temas 1.6–1.7»; el explorador no trata 1.7 (continuidad, corriente de desplazamiento).</w:t>
            </w:r>
          </w:p>
        </w:tc>
        <w:tc>
          <w:tcPr>
            <w:tcW w:type="dxa" w:w="30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«tema 1.6» hasta que exista un explorador de 1.7.</w:t>
            </w:r>
          </w:p>
        </w:tc>
      </w:tr>
    </w:tbl>
    <w:p>
      <w:pPr>
        <w:pStyle w:val="Heading1"/>
        <w:spacing w:after="160" w:before="360"/>
      </w:pPr>
      <w:r>
        <w:rPr>
          <w:rFonts w:ascii="Calibri" w:cs="Calibri" w:eastAsia="Calibri" w:hAnsi="Calibri"/>
        </w:rPr>
        <w:t xml:space="preserve">5. Recorrido como estudiante: hallazgos de uso, visualización y accesibilidad</w:t>
      </w:r>
    </w:p>
    <w:p>
      <w:pPr>
        <w:pStyle w:val="Heading2"/>
        <w:spacing w:after="120" w:before="280"/>
      </w:pPr>
      <w:r>
        <w:rPr>
          <w:rFonts w:ascii="Calibri" w:cs="Calibri" w:eastAsia="Calibri" w:hAnsi="Calibri"/>
        </w:rPr>
        <w:t xml:space="preserve">5.1 Lo que funciona (confirmado en las 20 páginas)</w:t>
      </w:r>
    </w:p>
    <w:p>
      <w:pPr>
        <w:pStyle w:val="ListParagraph"/>
        <w:numPr>
          <w:ilvl w:val="0"/>
          <w:numId w:val="2"/>
        </w:numPr>
        <w:spacing w:after="60"/>
      </w:pPr>
      <w:r>
        <w:rPr>
          <w:rFonts w:ascii="Calibri" w:cs="Calibri" w:eastAsia="Calibri" w:hAnsi="Calibri"/>
          <w:sz w:val="22"/>
          <w:szCs w:val="22"/>
        </w:rPr>
        <w:t xml:space="preserve">Cero errores de consola y cero errores de página; sin NaN, Infinity, undefined ni «–» en ninguna tesela tras recorrer cada control a mínimo, máximo, intermedio, 0, negativo, vacío, 10⁹ y 10⁻⁹. Los casos degenerados (corto en λ/4, |Γ| = 1, f &lt; f_c, σ = 0 rechazado, Q = 0 rechazado) están manejados y muestran «±j∞», «∞» o «evanescente».</w:t>
      </w:r>
    </w:p>
    <w:p>
      <w:pPr>
        <w:pStyle w:val="ListParagraph"/>
        <w:numPr>
          <w:ilvl w:val="0"/>
          <w:numId w:val="2"/>
        </w:numPr>
        <w:spacing w:after="60"/>
      </w:pPr>
      <w:r>
        <w:rPr>
          <w:rFonts w:ascii="Calibri" w:cs="Calibri" w:eastAsia="Calibri" w:hAnsi="Calibri"/>
          <w:sz w:val="22"/>
          <w:szCs w:val="22"/>
        </w:rPr>
        <w:t xml:space="preserve">Todos los enlaces resuelven; la barra ‹ › enlaza 19 páginas en cadena sin huecos; Temario abre y cierra con Esc; ← → navegan excepto cuando un deslizador tiene el foco (entonces mueven el deslizador, comportamiento esperado pero no documentado).</w:t>
      </w:r>
    </w:p>
    <w:p>
      <w:pPr>
        <w:pStyle w:val="ListParagraph"/>
        <w:numPr>
          <w:ilvl w:val="0"/>
          <w:numId w:val="2"/>
        </w:numPr>
        <w:spacing w:after="60"/>
      </w:pPr>
      <w:r>
        <w:rPr>
          <w:rFonts w:ascii="Calibri" w:cs="Calibri" w:eastAsia="Calibri" w:hAnsi="Calibri"/>
          <w:sz w:val="22"/>
          <w:szCs w:val="22"/>
        </w:rPr>
        <w:t xml:space="preserve">Todos los controles visibles se alcanzan con Tab (orden lógico: botones de escenario → deslizadores → casillas → menú).</w:t>
      </w:r>
    </w:p>
    <w:p>
      <w:pPr>
        <w:pStyle w:val="ListParagraph"/>
        <w:numPr>
          <w:ilvl w:val="0"/>
          <w:numId w:val="2"/>
        </w:numPr>
        <w:spacing w:after="60"/>
      </w:pPr>
      <w:r>
        <w:rPr>
          <w:rFonts w:ascii="Calibri" w:cs="Calibri" w:eastAsia="Calibri" w:hAnsi="Calibri"/>
          <w:sz w:val="22"/>
          <w:szCs w:val="22"/>
        </w:rPr>
        <w:t xml:space="preserve">Sin internet, las tipografías de Google fallan y la página cae a las del sistema sin romper el diseño (verificado en capturas).</w:t>
      </w:r>
    </w:p>
    <w:p>
      <w:pPr>
        <w:pStyle w:val="ListParagraph"/>
        <w:numPr>
          <w:ilvl w:val="0"/>
          <w:numId w:val="2"/>
        </w:numPr>
        <w:spacing w:after="60"/>
      </w:pPr>
      <w:r>
        <w:rPr>
          <w:rFonts w:ascii="Calibri" w:cs="Calibri" w:eastAsia="Calibri" w:hAnsi="Calibri"/>
          <w:sz w:val="22"/>
          <w:szCs w:val="22"/>
        </w:rPr>
        <w:t xml:space="preserve">Lienzos arrastrables (superficie gaussiana, interfaz en z = −d, plano móvil, punto en la carta de Smith) responden al arrastre y actualizan las teselas.</w:t>
      </w:r>
    </w:p>
    <w:p>
      <w:pPr>
        <w:pStyle w:val="Heading2"/>
        <w:spacing w:after="120" w:before="280"/>
      </w:pPr>
      <w:r>
        <w:rPr>
          <w:rFonts w:ascii="Calibri" w:cs="Calibri" w:eastAsia="Calibri" w:hAnsi="Calibri"/>
        </w:rPr>
        <w:t xml:space="preserve">5.2 Defectos de visualización a 390 px (visibles en cuanto se corrija S1)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00"/>
        <w:gridCol w:w="3060"/>
      </w:tblGrid>
      <w:tr>
        <w:trPr>
          <w:tblHeader/>
        </w:trPr>
        <w:tc>
          <w:tcPr>
            <w:tcW w:type="dxa" w:w="2200"/>
            <w:shd w:fill="E7EC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Página</w:t>
            </w:r>
          </w:p>
        </w:tc>
        <w:tc>
          <w:tcPr>
            <w:tcW w:type="dxa" w:w="4100"/>
            <w:shd w:fill="E7EC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Hallazgo</w:t>
            </w:r>
          </w:p>
        </w:tc>
        <w:tc>
          <w:tcPr>
            <w:tcW w:type="dxa" w:w="3060"/>
            <w:shd w:fill="E7EC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Propuesta</w:t>
            </w:r>
          </w:p>
        </w:tc>
      </w:tr>
      <w:tr>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AnatomiaGrafica (ya tiene viewport)</w:t>
            </w:r>
          </w:p>
        </w:tc>
        <w:tc>
          <w:tcPr>
            <w:tcW w:type="dxa" w:w="41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Desborde horizontal: el documento mide 516 px en una pantalla de 390 (tarjetas, bloques .eq, .note, .lab y el bloque de código fijan anchos mínimos).</w:t>
            </w:r>
          </w:p>
        </w:tc>
        <w:tc>
          <w:tcPr>
            <w:tcW w:type="dxa" w:w="30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min-width: 0 en .card y overflow-x: auto solo en el bloque &lt;pre&gt;; eliminar anchos fijos en .lab.</w:t>
            </w:r>
          </w:p>
        </w:tc>
      </w:tr>
      <w:tr>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Doppler, Polarizacion, Solenoide, MicroondasC</w:t>
            </w:r>
          </w:p>
        </w:tc>
        <w:tc>
          <w:tcPr>
            <w:tcW w:type="dxa" w:w="41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Las cajas de ecuaciones (.eq) se solapan con el párrafo siguiente (solape de 40–80 px medido) porque la fórmula no envuelve y la caja no crece.</w:t>
            </w:r>
          </w:p>
        </w:tc>
        <w:tc>
          <w:tcPr>
            <w:tcW w:type="dxa" w:w="30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white-space: normal / overflow-wrap: anywhere en .eq, o font-size reducido en pantallas &lt; 480 px.</w:t>
            </w:r>
          </w:p>
        </w:tc>
      </w:tr>
      <w:tr>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Doppler</w:t>
            </w:r>
          </w:p>
        </w:tc>
        <w:tc>
          <w:tcPr>
            <w:tcW w:type="dxa" w:w="41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Las etiquetas del espectro (Hγ, Hβ, Na, Hα) se amontonan en la franja; la casilla «v (m/s)» y el selector «radar» se salen del viewport.</w:t>
            </w:r>
          </w:p>
        </w:tc>
        <w:tc>
          <w:tcPr>
            <w:tcW w:type="dxa" w:w="30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Grid de una columna en &lt; 480 px; etiquetas alternadas arriba/abajo.</w:t>
            </w:r>
          </w:p>
        </w:tc>
      </w:tr>
      <w:tr>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CapaDielectrica, RC</w:t>
            </w:r>
          </w:p>
        </w:tc>
        <w:tc>
          <w:tcPr>
            <w:tcW w:type="dxa" w:w="41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Fuente mínima 8.1 px y 8.6 px (etiquetas de ejes en lienzo); Capacitor, EfectoPiel, Fresnel, LineaTransmision, Smith, Polarizacion: 10 px.</w:t>
            </w:r>
          </w:p>
        </w:tc>
        <w:tc>
          <w:tcPr>
            <w:tcW w:type="dxa" w:w="30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Mínimo 11 px en lienzo; escalar la tipografía del canvas con devicePixelRatio.</w:t>
            </w:r>
          </w:p>
        </w:tc>
      </w:tr>
      <w:tr>
        <w:tc>
          <w:tcPr>
            <w:tcW w:type="dxa" w:w="22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Portada (teléfono)</w:t>
            </w:r>
          </w:p>
        </w:tc>
        <w:tc>
          <w:tcPr>
            <w:tcW w:type="dxa" w:w="41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Con 19 tarjetas, el estudiante baja mucho hasta Unidad 4; el bloque «Transversales» se interpone.</w:t>
            </w:r>
          </w:p>
        </w:tc>
        <w:tc>
          <w:tcPr>
            <w:tcW w:type="dxa" w:w="30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Índice colapsable por unidad o anclas al inicio.</w:t>
            </w:r>
          </w:p>
        </w:tc>
      </w:tr>
    </w:tbl>
    <w:p>
      <w:pPr>
        <w:spacing w:after="80"/>
      </w:pPr>
    </w:p>
    <w:p>
      <w:pPr>
        <w:pStyle w:val="Heading2"/>
        <w:spacing w:after="120" w:before="280"/>
      </w:pPr>
      <w:r>
        <w:rPr>
          <w:rFonts w:ascii="Calibri" w:cs="Calibri" w:eastAsia="Calibri" w:hAnsi="Calibri"/>
        </w:rPr>
        <w:t xml:space="preserve">5.3 Observaciones pedagógicas desde la silla del estudiante</w:t>
      </w:r>
    </w:p>
    <w:p>
      <w:pPr>
        <w:pStyle w:val="ListParagraph"/>
        <w:numPr>
          <w:ilvl w:val="0"/>
          <w:numId w:val="2"/>
        </w:numPr>
        <w:spacing w:after="60"/>
      </w:pPr>
      <w:r>
        <w:rPr>
          <w:rFonts w:ascii="Calibri" w:cs="Calibri" w:eastAsia="Calibri" w:hAnsi="Calibri"/>
          <w:b/>
          <w:bCs/>
          <w:sz w:val="22"/>
          <w:szCs w:val="22"/>
        </w:rPr>
        <w:t xml:space="preserve">Orientación inicial. </w:t>
      </w:r>
      <w:r>
        <w:rPr>
          <w:rFonts w:ascii="Calibri" w:cs="Calibri" w:eastAsia="Calibri" w:hAnsi="Calibri"/>
          <w:sz w:val="22"/>
          <w:szCs w:val="22"/>
        </w:rPr>
        <w:t xml:space="preserve">Cada explorador abre con un párrafo claro y una frase del tipo «arrastra… y comprueba…»; en 10 s se sabe qué hacer. Lo que falta de forma sistemática son preguntas guía con respuesta comprobable («¿a qué d/λ₂ se anula la reflexión? Verifícalo») y un cierre que conecte con la práctica (P1…P11): la práctica se nombra en la etiqueta, pero no se dice qué medir ni qué comparar con el explorador.</w:t>
      </w:r>
    </w:p>
    <w:p>
      <w:pPr>
        <w:pStyle w:val="ListParagraph"/>
        <w:numPr>
          <w:ilvl w:val="0"/>
          <w:numId w:val="2"/>
        </w:numPr>
        <w:spacing w:after="60"/>
      </w:pPr>
      <w:r>
        <w:rPr>
          <w:rFonts w:ascii="Calibri" w:cs="Calibri" w:eastAsia="Calibri" w:hAnsi="Calibri"/>
          <w:b/>
          <w:bCs/>
          <w:sz w:val="22"/>
          <w:szCs w:val="22"/>
        </w:rPr>
        <w:t xml:space="preserve">Fórmulas visibles vs. código. </w:t>
      </w:r>
      <w:r>
        <w:rPr>
          <w:rFonts w:ascii="Calibri" w:cs="Calibri" w:eastAsia="Calibri" w:hAnsi="Calibri"/>
          <w:sz w:val="22"/>
          <w:szCs w:val="22"/>
        </w:rPr>
        <w:t xml:space="preserve">Los formularios desplegables son correctos y están bien escritos; en cinco casos (Reflexion, CapaTresMedios, EfectoPiel, Doppler, LineaTransmision) el modelo hace suposiciones que no se declaran en pantalla (sin pérdidas, μᵣ = 1, buen conductor, no relativista, medio 1 = aire). CapaDielectrica sí lo hace y es el modelo a seguir.</w:t>
      </w:r>
    </w:p>
    <w:p>
      <w:pPr>
        <w:pStyle w:val="ListParagraph"/>
        <w:numPr>
          <w:ilvl w:val="0"/>
          <w:numId w:val="2"/>
        </w:numPr>
        <w:spacing w:after="60"/>
      </w:pPr>
      <w:r>
        <w:rPr>
          <w:rFonts w:ascii="Calibri" w:cs="Calibri" w:eastAsia="Calibri" w:hAnsi="Calibri"/>
          <w:b/>
          <w:bCs/>
          <w:sz w:val="22"/>
          <w:szCs w:val="22"/>
        </w:rPr>
        <w:t xml:space="preserve">Presets y rangos. </w:t>
      </w:r>
      <w:r>
        <w:rPr>
          <w:rFonts w:ascii="Calibri" w:cs="Calibri" w:eastAsia="Calibri" w:hAnsi="Calibri"/>
          <w:sz w:val="22"/>
          <w:szCs w:val="22"/>
        </w:rPr>
        <w:t xml:space="preserve">GuiaOnda: al pulsar WR‑90/WR‑284/WR‑42 la frecuencia no cambia; si estaba en 1 GHz el estado pasa a «evanescente» y parece que la guía estándar no funciona. Proponemos que el preset fije f al centro de la banda EIA. Snell: el deslizador de 1° no permite caer en el ángulo crítico (41.81°); un botón «ir a θ_c» ya existe en Fresnel y conviene replicarlo. Capacitor: se alcanzan 10 MV/m sin aviso de ruptura dieléctrica del aire (3 MV/m).</w:t>
      </w:r>
    </w:p>
    <w:p>
      <w:pPr>
        <w:pStyle w:val="ListParagraph"/>
        <w:numPr>
          <w:ilvl w:val="0"/>
          <w:numId w:val="2"/>
        </w:numPr>
        <w:spacing w:after="60"/>
      </w:pPr>
      <w:r>
        <w:rPr>
          <w:rFonts w:ascii="Calibri" w:cs="Calibri" w:eastAsia="Calibri" w:hAnsi="Calibri"/>
          <w:b/>
          <w:bCs/>
          <w:sz w:val="22"/>
          <w:szCs w:val="22"/>
        </w:rPr>
        <w:t xml:space="preserve">Lo que no se puede «romper» pero confunde. </w:t>
      </w:r>
      <w:r>
        <w:rPr>
          <w:rFonts w:ascii="Calibri" w:cs="Calibri" w:eastAsia="Calibri" w:hAnsi="Calibri"/>
          <w:sz w:val="22"/>
          <w:szCs w:val="22"/>
        </w:rPr>
        <w:t xml:space="preserve">LineaTransmision muestra Γ con un decimal (0.3333 → «0.3»; Z_L = 52 + j1 Ω → «0.0» con VSWR 1.04). Inducción autoescala Φ y FEM por separado, así que no se puede comparar amplitudes, solo fases. Solenoide: la fotografía embebida (145 kB base64, 75 % del archivo) tarda en cargar en móvil; no hay datos experimentales, solo la foto.</w:t>
      </w:r>
    </w:p>
    <w:p>
      <w:pPr>
        <w:pStyle w:val="ListParagraph"/>
        <w:numPr>
          <w:ilvl w:val="0"/>
          <w:numId w:val="2"/>
        </w:numPr>
        <w:spacing w:after="60"/>
      </w:pPr>
      <w:r>
        <w:rPr>
          <w:rFonts w:ascii="Calibri" w:cs="Calibri" w:eastAsia="Calibri" w:hAnsi="Calibri"/>
          <w:b/>
          <w:bCs/>
          <w:sz w:val="22"/>
          <w:szCs w:val="22"/>
        </w:rPr>
        <w:t xml:space="preserve">Explorador transversal «Anatomía de una gráfica». </w:t>
      </w:r>
      <w:r>
        <w:rPr>
          <w:rFonts w:ascii="Calibri" w:cs="Calibri" w:eastAsia="Calibri" w:hAnsi="Calibri"/>
          <w:sz w:val="22"/>
          <w:szCs w:val="22"/>
        </w:rPr>
        <w:t xml:space="preserve">Es el más completo pedagógicamente (lista de verificación, quiz, código generado). Además del error E12, el botón «Guardar la figura» guarda PNG aunque el nombre acabe en .pdf (se renombra en silencio) y la leyenda loc="best" se dibuja siempre arriba a la derecha, que puede no coincidir con matplotlib.</w:t>
      </w:r>
    </w:p>
    <w:p>
      <w:pPr>
        <w:pStyle w:val="Heading2"/>
        <w:spacing w:after="120" w:before="280"/>
      </w:pPr>
      <w:r>
        <w:rPr>
          <w:rFonts w:ascii="Calibri" w:cs="Calibri" w:eastAsia="Calibri" w:hAnsi="Calibri"/>
        </w:rPr>
        <w:t xml:space="preserve">5.4 Accesibilidad</w:t>
      </w:r>
    </w:p>
    <w:p>
      <w:pPr>
        <w:pStyle w:val="ListParagraph"/>
        <w:numPr>
          <w:ilvl w:val="0"/>
          <w:numId w:val="2"/>
        </w:numPr>
        <w:spacing w:after="60"/>
      </w:pPr>
      <w:r>
        <w:rPr>
          <w:rFonts w:ascii="Calibri" w:cs="Calibri" w:eastAsia="Calibri" w:hAnsi="Calibri"/>
          <w:sz w:val="22"/>
          <w:szCs w:val="22"/>
        </w:rPr>
        <w:t xml:space="preserve">Ningún &lt;input&gt; tiene &lt;label for=…&gt; asociado (la etiqueta es texto previo): 3–28 controles sin nombre accesible por página (AnatomiaGrafica 28, CapaDielectrica 10, RC y Solenoide 8). Lectores de pantalla anuncian «deslizador» sin decir de qué. Corrección mecánica: envolver etiqueta e input en &lt;label&gt; o añadir aria-label.</w:t>
      </w:r>
    </w:p>
    <w:p>
      <w:pPr>
        <w:pStyle w:val="ListParagraph"/>
        <w:numPr>
          <w:ilvl w:val="0"/>
          <w:numId w:val="2"/>
        </w:numPr>
        <w:spacing w:after="60"/>
      </w:pPr>
      <w:r>
        <w:rPr>
          <w:rFonts w:ascii="Calibri" w:cs="Calibri" w:eastAsia="Calibri" w:hAnsi="Calibri"/>
          <w:sz w:val="22"/>
          <w:szCs w:val="22"/>
        </w:rPr>
        <w:t xml:space="preserve">Ningún &lt;canvas&gt; tiene role, aria-label ni texto alternativo; las teselas numéricas suplen en parte la información, pero conviene aria-label="Gráfica de …" y, en los lienzos de solo lectura, un resumen textual oculto.</w:t>
      </w:r>
    </w:p>
    <w:p>
      <w:pPr>
        <w:pStyle w:val="ListParagraph"/>
        <w:numPr>
          <w:ilvl w:val="0"/>
          <w:numId w:val="2"/>
        </w:numPr>
        <w:spacing w:after="60"/>
      </w:pPr>
      <w:r>
        <w:rPr>
          <w:rFonts w:ascii="Calibri" w:cs="Calibri" w:eastAsia="Calibri" w:hAnsi="Calibri"/>
          <w:sz w:val="22"/>
          <w:szCs w:val="22"/>
        </w:rPr>
        <w:t xml:space="preserve">El contraste de los colores de tesela y de las variables naranja sobre crema no se midió instrumentalmente; a simple vista es adecuado en modo claro y oscuro.</w:t>
      </w:r>
    </w:p>
    <w:p>
      <w:pPr>
        <w:pStyle w:val="Heading1"/>
        <w:spacing w:after="160" w:before="360"/>
      </w:pPr>
      <w:r>
        <w:rPr>
          <w:rFonts w:ascii="Calibri" w:cs="Calibri" w:eastAsia="Calibri" w:hAnsi="Calibri"/>
        </w:rPr>
        <w:t xml:space="preserve">6. Puntos que requieren decisión de la autora (⚠ / ℹ)</w:t>
      </w:r>
    </w:p>
    <w:p>
      <w:pPr>
        <w:spacing w:after="120"/>
      </w:pPr>
      <w:r>
        <w:rPr>
          <w:rFonts w:ascii="Calibri" w:cs="Calibri" w:eastAsia="Calibri" w:hAnsi="Calibri"/>
          <w:sz w:val="22"/>
          <w:szCs w:val="22"/>
        </w:rPr>
        <w:t xml:space="preserve">No son errores numéricos; son convenciones, valores de tabla o alcances que conviene declarar o ajustar. Agrupados por unidad; el detalle con líneas está en los informes por unidad.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360"/>
      </w:tblGrid>
      <w:tr>
        <w:trPr>
          <w:tblHeader/>
        </w:trPr>
        <w:tc>
          <w:tcPr>
            <w:tcW w:type="dxa" w:w="1700"/>
            <w:shd w:fill="E7EC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Unidad</w:t>
            </w:r>
          </w:p>
        </w:tc>
        <w:tc>
          <w:tcPr>
            <w:tcW w:type="dxa" w:w="4300"/>
            <w:shd w:fill="E7EC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Punto</w:t>
            </w:r>
          </w:p>
        </w:tc>
        <w:tc>
          <w:tcPr>
            <w:tcW w:type="dxa" w:w="3360"/>
            <w:shd w:fill="E7ECF3"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Propuesta</w:t>
            </w:r>
          </w:p>
        </w:tc>
      </w:tr>
      <w:tr>
        <w:tc>
          <w:tcPr>
            <w:tcW w:type="dxa" w:w="17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U1 Solenoide</w:t>
            </w:r>
          </w:p>
        </w:tc>
        <w:tc>
          <w:tcPr>
            <w:tcW w:type="dxa" w:w="43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«Largo ≈ ideal» para L/d ≥ 3 (cos α = 0.949, −5 %); «núcleo ×μᵣ» solo vale con circuito magnético cerrado. Sin datos experimentales: el modelo predice 0.805 mT/A (ideal 1.571) para la bobina P3.</w:t>
            </w:r>
          </w:p>
        </w:tc>
        <w:tc>
          <w:tcPr>
            <w:tcW w:type="dxa" w:w="33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Umbral L/d ≥ 5 (−2 %); matizar μᵣ; añadir casilla para pegar los datos de P3 y superponerlos.</w:t>
            </w:r>
          </w:p>
        </w:tc>
      </w:tr>
      <w:tr>
        <w:tc>
          <w:tcPr>
            <w:tcW w:type="dxa" w:w="17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U1 RC</w:t>
            </w:r>
          </w:p>
        </w:tc>
        <w:tc>
          <w:tcPr>
            <w:tcW w:type="dxa" w:w="43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Triángulo de impedancias con X_C hacia arriba (Ulaby y Sadiku lo dibujan hacia abajo, Z = R − jX_C); f_c está en el formulario pero no se calcula.</w:t>
            </w:r>
          </w:p>
        </w:tc>
        <w:tc>
          <w:tcPr>
            <w:tcW w:type="dxa" w:w="33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Invertir o anotar la convención; tesela f_c con marca «φ = 45°, V_R = V_C».</w:t>
            </w:r>
          </w:p>
        </w:tc>
      </w:tr>
      <w:tr>
        <w:tc>
          <w:tcPr>
            <w:tcW w:type="dxa" w:w="17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U1 Inducción</w:t>
            </w:r>
          </w:p>
        </w:tc>
        <w:tc>
          <w:tcPr>
            <w:tcW w:type="dxa" w:w="43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B_cara = 50 mT y modelo dipolar no declarados; filtro IIR en la FEM no declarado; DT fijo 1/60 s corre al doble en pantallas de 120 Hz.</w:t>
            </w:r>
          </w:p>
        </w:tc>
        <w:tc>
          <w:tcPr>
            <w:tcW w:type="dxa" w:w="33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Declarar; usar el timestamp de requestAnimationFrame.</w:t>
            </w:r>
          </w:p>
        </w:tc>
      </w:tr>
      <w:tr>
        <w:tc>
          <w:tcPr>
            <w:tcW w:type="dxa" w:w="17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U1 Gauss / Capacitor</w:t>
            </w:r>
          </w:p>
        </w:tc>
        <w:tc>
          <w:tcPr>
            <w:tcW w:type="dxa" w:w="43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σ/(2ε₀) es lámina de carga, no superficie de conductor (σ/ε₀); E = V/s sin bordes; cargas dibujadas uniformes a Q fija con inserción parcial.</w:t>
            </w:r>
          </w:p>
        </w:tc>
        <w:tc>
          <w:tcPr>
            <w:tcW w:type="dxa" w:w="33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Una frase en cada formulario.</w:t>
            </w:r>
          </w:p>
        </w:tc>
      </w:tr>
      <w:tr>
        <w:tc>
          <w:tcPr>
            <w:tcW w:type="dxa" w:w="17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U2 EfectoPiel</w:t>
            </w:r>
          </w:p>
        </w:tc>
        <w:tc>
          <w:tcPr>
            <w:tcW w:type="dxa" w:w="43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Umbrales de régimen 10/0.1 (Ulaby usa 100/0.01); εᵣ = 81 del agua de mar vale ≲ 1 GHz (Debye); σ(ω) del cobre desde ~1 THz. Sin tan δ, η_c completo, λ = 2πδ, μᵣ, Ag, Fe.</w:t>
            </w:r>
          </w:p>
        </w:tc>
        <w:tc>
          <w:tcPr>
            <w:tcW w:type="dxa" w:w="33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Adoptar 100/0.01; nota de validez; teselas tan δ y «atenuación de un espesor t: 8.686·t/δ dB» (útil para P6).</w:t>
            </w:r>
          </w:p>
        </w:tc>
      </w:tr>
      <w:tr>
        <w:tc>
          <w:tcPr>
            <w:tcW w:type="dxa" w:w="17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U2 Polarización</w:t>
            </w:r>
          </w:p>
        </w:tc>
        <w:tc>
          <w:tcPr>
            <w:tcW w:type="dxa" w:w="43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No se nombra RHCP/LHCP ni se declara convención (IEEE: δ = +90° es LHC; en óptica ese mismo giro se llama «derecha»); sin ψ ni χ. AR calculada por barrido (−0.3 %).</w:t>
            </w:r>
          </w:p>
        </w:tc>
        <w:tc>
          <w:tcPr>
            <w:tcW w:type="dxa" w:w="33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Tesela «Mano (IEEE)»; teselas ψ, χ (Ulaby 7.48–7.49); AR en forma cerrada.</w:t>
            </w:r>
          </w:p>
        </w:tc>
      </w:tr>
      <w:tr>
        <w:tc>
          <w:tcPr>
            <w:tcW w:type="dxa" w:w="17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U2 Doppler</w:t>
            </w:r>
          </w:p>
        </w:tc>
        <w:tc>
          <w:tcPr>
            <w:tcW w:type="dxa" w:w="43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z ≡ v/c hasta 0.3 (17 % de error); f′ con 4 decimales de GHz oculta los kHz del radar; Hα sale de la franja para z &gt; 0.188.</w:t>
            </w:r>
          </w:p>
        </w:tc>
        <w:tc>
          <w:tcPr>
            <w:tcW w:type="dxa" w:w="33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z ≤ 0.1 o β exacta; mostrar «f + Δf»; λ_max 900 nm o aviso.</w:t>
            </w:r>
          </w:p>
        </w:tc>
      </w:tr>
      <w:tr>
        <w:tc>
          <w:tcPr>
            <w:tcW w:type="dxa" w:w="17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U2 Microondas</w:t>
            </w:r>
          </w:p>
        </w:tc>
        <w:tc>
          <w:tcPr>
            <w:tcW w:type="dxa" w:w="43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Sin propagación de incertidumbre (δc/c = δD/D ≈ 2 % frente al +25 % observado: argumento de error sistemático que vale la pena mostrar); sin c = 1/√(μ₀ε₀).</w:t>
            </w:r>
          </w:p>
        </w:tc>
        <w:tc>
          <w:tcPr>
            <w:tcW w:type="dxa" w:w="33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Casilla δD y tesela δc/c; añadir la constante.</w:t>
            </w:r>
          </w:p>
        </w:tc>
      </w:tr>
      <w:tr>
        <w:tc>
          <w:tcPr>
            <w:tcW w:type="dxa" w:w="17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U2 Espectro</w:t>
            </w:r>
          </w:p>
        </w:tc>
        <w:tc>
          <w:tcPr>
            <w:tcW w:type="dxa" w:w="43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«~60 octavas» (el eje tiene 69.8); formatos «1000.00 fm», «0.00 neV» en umbrales; frontera X/γ en 207 keV (convención); faltan presets 2.45 GHz y GPS L1.</w:t>
            </w:r>
          </w:p>
        </w:tc>
        <w:tc>
          <w:tcPr>
            <w:tcW w:type="dxa" w:w="33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Ajustar texto; toPrecision; declarar convención; añadir presets.</w:t>
            </w:r>
          </w:p>
        </w:tc>
      </w:tr>
      <w:tr>
        <w:tc>
          <w:tcPr>
            <w:tcW w:type="dxa" w:w="17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U3 tablas de n</w:t>
            </w:r>
          </w:p>
        </w:tc>
        <w:tc>
          <w:tcPr>
            <w:tcW w:type="dxa" w:w="43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Teflón n = 1.44 es el valor de microondas (εᵣ ≈ 2.1); el resto de la tabla es óptico (PTFE visible ≈ 1.35–1.38; agua en microondas n ≈ 9). Misma tabla en CapaTresMedios y Fresnel.</w:t>
            </w:r>
          </w:p>
        </w:tc>
        <w:tc>
          <w:tcPr>
            <w:tcW w:type="dxa" w:w="33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Etiquetar régimen (óptico/microondas) o separar tablas.</w:t>
            </w:r>
          </w:p>
        </w:tc>
      </w:tr>
      <w:tr>
        <w:tc>
          <w:tcPr>
            <w:tcW w:type="dxa" w:w="17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U3 Reflexion</w:t>
            </w:r>
          </w:p>
        </w:tc>
        <w:tc>
          <w:tcPr>
            <w:tcW w:type="dxa" w:w="43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Γ &gt; 0 inalcanzable (medio 1 fijo); T = 1 − |Γ|² sin relación con τ; sin l_max, l_min explícitos; sin pérdidas y μᵣ = 1 no declarados.</w:t>
            </w:r>
          </w:p>
        </w:tc>
        <w:tc>
          <w:tcPr>
            <w:tcW w:type="dxa" w:w="33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Control εᵣ₁ o botón «intercambiar medios»; balance 1 = |Γ|² + (η₁/η₂)|τ|²; declarar.</w:t>
            </w:r>
          </w:p>
        </w:tc>
      </w:tr>
      <w:tr>
        <w:tc>
          <w:tcPr>
            <w:tcW w:type="dxa" w:w="17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U3 Fresnel</w:t>
            </w:r>
          </w:p>
        </w:tc>
        <w:tc>
          <w:tcPr>
            <w:tcW w:type="dxa" w:w="43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Sin τ⊥, τ∥, T⊥, T∥ ni R + T = 1; en reflexión total Γ = NaN (lo correcto: |Γ| = 1 con fase, p. ej. 1.52→1 a 60°: ∠Γ⊥ = +126.0°, ∠Γ∥ = −24.9°); convención de signo de Γ∥ (Ulaby/Griffiths; Hecht usa la opuesta) no declarada.</w:t>
            </w:r>
          </w:p>
        </w:tc>
        <w:tc>
          <w:tcPr>
            <w:tcW w:type="dxa" w:w="33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ts = 1+gs; tp = (1+gp)·ci/ct; T = (n₂ct)/(n₁ci)·τ²; aritmética compleja con cos θₜ = −j√(sin²θₜ − 1); nota de convención.</w:t>
            </w:r>
          </w:p>
        </w:tc>
      </w:tr>
      <w:tr>
        <w:tc>
          <w:tcPr>
            <w:tcW w:type="dxa" w:w="17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U3 Snell</w:t>
            </w:r>
          </w:p>
        </w:tc>
        <w:tc>
          <w:tcPr>
            <w:tcW w:type="dxa" w:w="43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Eyebrow «3.5 a 3.8» para un contenido de 3.5; preset de fibra sin apertura numérica.</w:t>
            </w:r>
          </w:p>
        </w:tc>
        <w:tc>
          <w:tcPr>
            <w:tcW w:type="dxa" w:w="33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«3.5 (3.6–3.8: Fresnel)»; tesela NA = √(n₁² − n₂²) = 0.244, θ_acept = 14.1°.</w:t>
            </w:r>
          </w:p>
        </w:tc>
      </w:tr>
      <w:tr>
        <w:tc>
          <w:tcPr>
            <w:tcW w:type="dxa" w:w="17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U4 LineaTransmision</w:t>
            </w:r>
          </w:p>
        </w:tc>
        <w:tc>
          <w:tcPr>
            <w:tcW w:type="dxa" w:w="43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Γ a un decimal; |V|máx/|V|mín es copia del VSWR, no medida de la envolvente; sin caso abierto (−jZ₀ cot βd) ni máximos.</w:t>
            </w:r>
          </w:p>
        </w:tc>
        <w:tc>
          <w:tcPr>
            <w:tcW w:type="dxa" w:w="33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Formato |Γ|∠θ con tres decimales (como Smith); máx/mín numéricos de la envolvente; añadir abierto y máximos.</w:t>
            </w:r>
          </w:p>
        </w:tc>
      </w:tr>
      <w:tr>
        <w:tc>
          <w:tcPr>
            <w:tcW w:type="dxa" w:w="17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U4 Smith</w:t>
            </w:r>
          </w:p>
        </w:tc>
        <w:tc>
          <w:tcPr>
            <w:tcW w:type="dxa" w:w="43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Sin admitancia, stubs ni escala exterior en λ; arcos de x sin etiqueta; arrastre limitado a |Γ| ≤ 0.985 sin aviso.</w:t>
            </w:r>
          </w:p>
        </w:tc>
        <w:tc>
          <w:tcPr>
            <w:tcW w:type="dxa" w:w="33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Botón «y = 1/z (punto diametral)»; etiquetas ±j0.5, ±j1, ±j2; escala 0–0.5 λ; avisar del límite.</w:t>
            </w:r>
          </w:p>
        </w:tc>
      </w:tr>
      <w:tr>
        <w:tc>
          <w:tcPr>
            <w:tcW w:type="dxa" w:w="17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U4 GuiaOnda</w:t>
            </w:r>
          </w:p>
        </w:tc>
        <w:tc>
          <w:tcPr>
            <w:tcW w:type="dxa" w:w="43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Etiquetas «TE11», «TE21» ocultan la degeneración con TM; «banda monomodo» teórica (6.56–13.11 GHz) vs banda de operación EIA (8.2–12.4 GHz) no se distinguen; guía cuadrada muestra «7.49–7.49 GHz»; sin Z_TE.</w:t>
            </w:r>
          </w:p>
        </w:tc>
        <w:tc>
          <w:tcPr>
            <w:tcW w:type="dxa" w:w="33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Etiquetar «TE/TM11»; mostrar ambas bandas; «— (TE10/TE01 degenerados)»; tesela Z_TE = η/√(1 − (f_c/f)²).</w:t>
            </w:r>
          </w:p>
        </w:tc>
      </w:tr>
      <w:tr>
        <w:tc>
          <w:tcPr>
            <w:tcW w:type="dxa" w:w="17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Transversal Anatomía</w:t>
            </w:r>
          </w:p>
        </w:tc>
        <w:tc>
          <w:tcPr>
            <w:tcW w:type="dxa" w:w="430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μᵣ(Fe) = 1000 y σ(grafito) = 10⁵ S/m tienen dispersión de un orden de magnitud; leyenda «best» dibujada fija.</w:t>
            </w:r>
          </w:p>
        </w:tc>
        <w:tc>
          <w:tcPr>
            <w:tcW w:type="dxa" w:w="336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Indicar rango en la biblioteca; nota.</w:t>
            </w:r>
          </w:p>
        </w:tc>
      </w:tr>
    </w:tbl>
    <w:p>
      <w:pPr>
        <w:pStyle w:val="Heading1"/>
        <w:spacing w:after="160" w:before="360"/>
      </w:pPr>
      <w:r>
        <w:rPr>
          <w:rFonts w:ascii="Calibri" w:cs="Calibri" w:eastAsia="Calibri" w:hAnsi="Calibri"/>
        </w:rPr>
        <w:t xml:space="preserve">7. Propuestas de mejora, por prioridad</w:t>
      </w:r>
    </w:p>
    <w:p>
      <w:pPr>
        <w:pStyle w:val="Heading2"/>
        <w:spacing w:after="120" w:before="280"/>
      </w:pPr>
      <w:r>
        <w:rPr>
          <w:rFonts w:ascii="Calibri" w:cs="Calibri" w:eastAsia="Calibri" w:hAnsi="Calibri"/>
        </w:rPr>
        <w:t xml:space="preserve">7.1 Bloqueantes (afectan a todos los usuarios o entregan resultados incorrectos)</w:t>
      </w:r>
    </w:p>
    <w:p>
      <w:pPr>
        <w:pStyle w:val="ListParagraph"/>
        <w:numPr>
          <w:ilvl w:val="0"/>
          <w:numId w:val="3"/>
        </w:numPr>
        <w:spacing w:after="60"/>
      </w:pPr>
      <w:r>
        <w:rPr>
          <w:rFonts w:ascii="Calibri" w:cs="Calibri" w:eastAsia="Calibri" w:hAnsi="Calibri"/>
          <w:sz w:val="22"/>
          <w:szCs w:val="22"/>
        </w:rPr>
        <w:t xml:space="preserve">Añadir &lt;!DOCTYPE html&gt;, &lt;html lang="es"&gt; y &lt;meta name="viewport"&gt; a las 18 páginas que carecen de ello (S1), con un script idempotente como add_navegacion.py; volver a probar a 390 px y corregir los desbordes de 5.2.</w:t>
      </w:r>
    </w:p>
    <w:p>
      <w:pPr>
        <w:pStyle w:val="ListParagraph"/>
        <w:numPr>
          <w:ilvl w:val="0"/>
          <w:numId w:val="3"/>
        </w:numPr>
        <w:spacing w:after="60"/>
      </w:pPr>
      <w:r>
        <w:rPr>
          <w:rFonts w:ascii="Calibri" w:cs="Calibri" w:eastAsia="Calibri" w:hAnsi="Calibri"/>
          <w:sz w:val="22"/>
          <w:szCs w:val="22"/>
        </w:rPr>
        <w:t xml:space="preserve">Corregir los 12 errores confirmados E1–E12 (sección 4.1); cada uno es un cambio de 1–10 líneas con el código propuesto.</w:t>
      </w:r>
    </w:p>
    <w:p>
      <w:pPr>
        <w:pStyle w:val="ListParagraph"/>
        <w:numPr>
          <w:ilvl w:val="0"/>
          <w:numId w:val="3"/>
        </w:numPr>
        <w:spacing w:after="60"/>
      </w:pPr>
      <w:r>
        <w:rPr>
          <w:rFonts w:ascii="Calibri" w:cs="Calibri" w:eastAsia="Calibri" w:hAnsi="Calibri"/>
          <w:sz w:val="22"/>
          <w:szCs w:val="22"/>
        </w:rPr>
        <w:t xml:space="preserve">Sincronizar versión y metadatos (S2, S3): tabla del README generada desde index.html, descripción de Zenodo con 19 exploradores, versión única en todas las páginas, CITATION.cff coherente, nueva versión en Zenodo.</w:t>
      </w:r>
    </w:p>
    <w:p>
      <w:pPr>
        <w:pStyle w:val="Heading2"/>
        <w:spacing w:after="120" w:before="280"/>
      </w:pPr>
      <w:r>
        <w:rPr>
          <w:rFonts w:ascii="Calibri" w:cs="Calibri" w:eastAsia="Calibri" w:hAnsi="Calibri"/>
        </w:rPr>
        <w:t xml:space="preserve">7.2 Importantes (calidad del aprendizaje y uso en clase)</w:t>
      </w:r>
    </w:p>
    <w:p>
      <w:pPr>
        <w:pStyle w:val="ListParagraph"/>
        <w:numPr>
          <w:ilvl w:val="0"/>
          <w:numId w:val="3"/>
        </w:numPr>
        <w:spacing w:after="60"/>
      </w:pPr>
      <w:r>
        <w:rPr>
          <w:rFonts w:ascii="Calibri" w:cs="Calibri" w:eastAsia="Calibri" w:hAnsi="Calibri"/>
          <w:sz w:val="22"/>
          <w:szCs w:val="22"/>
        </w:rPr>
        <w:t xml:space="preserve">Declarar en pantalla las hipótesis de cada modelo (sin pérdidas, μᵣ = 1, buen conductor, no relativista, medio 1 = aire) con la fórmula de CapaDielectrica como plantilla.</w:t>
      </w:r>
    </w:p>
    <w:p>
      <w:pPr>
        <w:pStyle w:val="ListParagraph"/>
        <w:numPr>
          <w:ilvl w:val="0"/>
          <w:numId w:val="3"/>
        </w:numPr>
        <w:spacing w:after="60"/>
      </w:pPr>
      <w:r>
        <w:rPr>
          <w:rFonts w:ascii="Calibri" w:cs="Calibri" w:eastAsia="Calibri" w:hAnsi="Calibri"/>
          <w:sz w:val="22"/>
          <w:szCs w:val="22"/>
        </w:rPr>
        <w:t xml:space="preserve">Completar los exploradores de U3 y U4 con lo que el programa nombra explícitamente y el código ya casi tiene: τ y T en Fresnel, fase en reflexión total, admitancia en Smith, caso abierto y máximos en LineaTransmision, modos TM y Z_TE en GuiaOnda, apertura numérica en Snell.</w:t>
      </w:r>
    </w:p>
    <w:p>
      <w:pPr>
        <w:pStyle w:val="ListParagraph"/>
        <w:numPr>
          <w:ilvl w:val="0"/>
          <w:numId w:val="3"/>
        </w:numPr>
        <w:spacing w:after="60"/>
      </w:pPr>
      <w:r>
        <w:rPr>
          <w:rFonts w:ascii="Calibri" w:cs="Calibri" w:eastAsia="Calibri" w:hAnsi="Calibri"/>
          <w:sz w:val="22"/>
          <w:szCs w:val="22"/>
        </w:rPr>
        <w:t xml:space="preserve">Añadir a cada explorador 2–3 preguntas guía comprobables y un recuadro «Para la práctica Pn: mide…, compara con…» que conecte con el laboratorio (32 h del programa).</w:t>
      </w:r>
    </w:p>
    <w:p>
      <w:pPr>
        <w:pStyle w:val="ListParagraph"/>
        <w:numPr>
          <w:ilvl w:val="0"/>
          <w:numId w:val="3"/>
        </w:numPr>
        <w:spacing w:after="60"/>
      </w:pPr>
      <w:r>
        <w:rPr>
          <w:rFonts w:ascii="Calibri" w:cs="Calibri" w:eastAsia="Calibri" w:hAnsi="Calibri"/>
          <w:sz w:val="22"/>
          <w:szCs w:val="22"/>
        </w:rPr>
        <w:t xml:space="preserve">Etiquetar el régimen (óptico / microondas) en las tablas de índices de refracción y conductividades.</w:t>
      </w:r>
    </w:p>
    <w:p>
      <w:pPr>
        <w:pStyle w:val="ListParagraph"/>
        <w:numPr>
          <w:ilvl w:val="0"/>
          <w:numId w:val="3"/>
        </w:numPr>
        <w:spacing w:after="60"/>
      </w:pPr>
      <w:r>
        <w:rPr>
          <w:rFonts w:ascii="Calibri" w:cs="Calibri" w:eastAsia="Calibri" w:hAnsi="Calibri"/>
          <w:sz w:val="22"/>
          <w:szCs w:val="22"/>
        </w:rPr>
        <w:t xml:space="preserve">Corregir el orden Transversales/Unidad 4 entre portada y barra de navegación (S4) y la etiqueta «1.6–1.7» (S5).</w:t>
      </w:r>
    </w:p>
    <w:p>
      <w:pPr>
        <w:pStyle w:val="ListParagraph"/>
        <w:numPr>
          <w:ilvl w:val="0"/>
          <w:numId w:val="3"/>
        </w:numPr>
        <w:spacing w:after="60"/>
      </w:pPr>
      <w:r>
        <w:rPr>
          <w:rFonts w:ascii="Calibri" w:cs="Calibri" w:eastAsia="Calibri" w:hAnsi="Calibri"/>
          <w:sz w:val="22"/>
          <w:szCs w:val="22"/>
        </w:rPr>
        <w:t xml:space="preserve">Accesibilidad mecánica: &lt;label for&gt; en todos los controles, aria-label en lienzos, fuente mínima 11 px en canvas.</w:t>
      </w:r>
    </w:p>
    <w:p>
      <w:pPr>
        <w:pStyle w:val="ListParagraph"/>
        <w:numPr>
          <w:ilvl w:val="0"/>
          <w:numId w:val="3"/>
        </w:numPr>
        <w:spacing w:after="60"/>
      </w:pPr>
      <w:r>
        <w:rPr>
          <w:rFonts w:ascii="Calibri" w:cs="Calibri" w:eastAsia="Calibri" w:hAnsi="Calibri"/>
          <w:sz w:val="22"/>
          <w:szCs w:val="22"/>
        </w:rPr>
        <w:t xml:space="preserve">Presets que dejen al explorador en un estado útil (GuiaOnda: f al centro de la banda; Snell: botón «ir a θ_c»); aviso de ruptura dieléctrica en Capacitor; formato |Γ|∠θ en LineaTransmision.</w:t>
      </w:r>
    </w:p>
    <w:p>
      <w:pPr>
        <w:pStyle w:val="Heading2"/>
        <w:spacing w:after="120" w:before="280"/>
      </w:pPr>
      <w:r>
        <w:rPr>
          <w:rFonts w:ascii="Calibri" w:cs="Calibri" w:eastAsia="Calibri" w:hAnsi="Calibri"/>
        </w:rPr>
        <w:t xml:space="preserve">7.3 Ampliación de cobertura (nuevos exploradores, en orden de valor para el programa)</w:t>
      </w:r>
    </w:p>
    <w:p>
      <w:pPr>
        <w:pStyle w:val="ListParagraph"/>
        <w:numPr>
          <w:ilvl w:val="0"/>
          <w:numId w:val="3"/>
        </w:numPr>
        <w:spacing w:after="60"/>
      </w:pPr>
      <w:r>
        <w:rPr>
          <w:rFonts w:ascii="Calibri" w:cs="Calibri" w:eastAsia="Calibri" w:hAnsi="Calibri"/>
          <w:sz w:val="22"/>
          <w:szCs w:val="22"/>
        </w:rPr>
        <w:t xml:space="preserve">Onda TEM y teorema de Poynting (2.5, 2.7): animación 3D de E, H y k con S = E×H y potencia media; es el único subtema de U2 sin ningún apoyo y conecta con antenas.</w:t>
      </w:r>
    </w:p>
    <w:p>
      <w:pPr>
        <w:pStyle w:val="ListParagraph"/>
        <w:numPr>
          <w:ilvl w:val="0"/>
          <w:numId w:val="3"/>
        </w:numPr>
        <w:spacing w:after="60"/>
      </w:pPr>
      <w:r>
        <w:rPr>
          <w:rFonts w:ascii="Calibri" w:cs="Calibri" w:eastAsia="Calibri" w:hAnsi="Calibri"/>
          <w:sz w:val="22"/>
          <w:szCs w:val="22"/>
        </w:rPr>
        <w:t xml:space="preserve">Ecuaciones de Maxwell en forma fasorial (1.8–1.10): una «mesa de trabajo» que muestre v(t) ↔ Ṽ, d/dt → jω y las cuatro ecuaciones pasando de tiempo a fasor; complementa al RC.</w:t>
      </w:r>
    </w:p>
    <w:p>
      <w:pPr>
        <w:pStyle w:val="ListParagraph"/>
        <w:numPr>
          <w:ilvl w:val="0"/>
          <w:numId w:val="3"/>
        </w:numPr>
        <w:spacing w:after="60"/>
      </w:pPr>
      <w:r>
        <w:rPr>
          <w:rFonts w:ascii="Calibri" w:cs="Calibri" w:eastAsia="Calibri" w:hAnsi="Calibri"/>
          <w:sz w:val="22"/>
          <w:szCs w:val="22"/>
        </w:rPr>
        <w:t xml:space="preserve">Condiciones de frontera (3.1): E_t, D_n, H_t, B_n en una interfaz con ρ_s y J_s, con incidencia arbitraria (3.4).</w:t>
      </w:r>
    </w:p>
    <w:p>
      <w:pPr>
        <w:pStyle w:val="ListParagraph"/>
        <w:numPr>
          <w:ilvl w:val="0"/>
          <w:numId w:val="3"/>
        </w:numPr>
        <w:spacing w:after="60"/>
      </w:pPr>
      <w:r>
        <w:rPr>
          <w:rFonts w:ascii="Calibri" w:cs="Calibri" w:eastAsia="Calibri" w:hAnsi="Calibri"/>
          <w:sz w:val="22"/>
          <w:szCs w:val="22"/>
        </w:rPr>
        <w:t xml:space="preserve">Línea de transmisión II (4.1–4.2, 4.5–4.6): modelo RLGC, Z₀ = √(L/C) para coaxial y paralela, línea con pérdidas y condición de Heaviside, stubs reactivos.</w:t>
      </w:r>
    </w:p>
    <w:p>
      <w:pPr>
        <w:pStyle w:val="ListParagraph"/>
        <w:numPr>
          <w:ilvl w:val="0"/>
          <w:numId w:val="3"/>
        </w:numPr>
        <w:spacing w:after="60"/>
      </w:pPr>
      <w:r>
        <w:rPr>
          <w:rFonts w:ascii="Calibri" w:cs="Calibri" w:eastAsia="Calibri" w:hAnsi="Calibri"/>
          <w:sz w:val="22"/>
          <w:szCs w:val="22"/>
        </w:rPr>
        <w:t xml:space="preserve">Ley de Ampère y potencial vectorial (1.4–1.5): circuito amperiano en alambre recto, solenoide y toroide; A del solenoide.</w:t>
      </w:r>
    </w:p>
    <w:p>
      <w:pPr>
        <w:pStyle w:val="ListParagraph"/>
        <w:numPr>
          <w:ilvl w:val="0"/>
          <w:numId w:val="3"/>
        </w:numPr>
        <w:spacing w:after="60"/>
      </w:pPr>
      <w:r>
        <w:rPr>
          <w:rFonts w:ascii="Calibri" w:cs="Calibri" w:eastAsia="Calibri" w:hAnsi="Calibri"/>
          <w:sz w:val="22"/>
          <w:szCs w:val="22"/>
        </w:rPr>
        <w:t xml:space="preserve">Guía cilíndrica y placas paralelas (4.10, 4.12): ceros de J_n y J′_n, orden de modos, comparación con la rectangular.</w:t>
      </w:r>
    </w:p>
    <w:p>
      <w:pPr>
        <w:pStyle w:val="ListParagraph"/>
        <w:numPr>
          <w:ilvl w:val="0"/>
          <w:numId w:val="3"/>
        </w:numPr>
        <w:spacing w:after="60"/>
      </w:pPr>
      <w:r>
        <w:rPr>
          <w:rFonts w:ascii="Calibri" w:cs="Calibri" w:eastAsia="Calibri" w:hAnsi="Calibri"/>
          <w:sz w:val="22"/>
          <w:szCs w:val="22"/>
        </w:rPr>
        <w:t xml:space="preserve">Corriente y ley de Ohm puntual (1.3) y continuidad / corriente de desplazamiento (1.7): un explorador de capacitor en carga donde J y ∂D/∂t cierran el circuito.</w:t>
      </w:r>
    </w:p>
    <w:p>
      <w:pPr>
        <w:pStyle w:val="Heading2"/>
        <w:spacing w:after="120" w:before="280"/>
      </w:pPr>
      <w:r>
        <w:rPr>
          <w:rFonts w:ascii="Calibri" w:cs="Calibri" w:eastAsia="Calibri" w:hAnsi="Calibri"/>
        </w:rPr>
        <w:t xml:space="preserve">7.4 Menores</w:t>
      </w:r>
    </w:p>
    <w:p>
      <w:pPr>
        <w:pStyle w:val="ListParagraph"/>
        <w:numPr>
          <w:ilvl w:val="0"/>
          <w:numId w:val="3"/>
        </w:numPr>
        <w:spacing w:after="60"/>
      </w:pPr>
      <w:r>
        <w:rPr>
          <w:rFonts w:ascii="Calibri" w:cs="Calibri" w:eastAsia="Calibri" w:hAnsi="Calibri"/>
          <w:sz w:val="22"/>
          <w:szCs w:val="22"/>
        </w:rPr>
        <w:t xml:space="preserve">Reducir la fotografía de Solenoide (145 kB base64) a ≤ 40 kB o cargarla como archivo aparte.</w:t>
      </w:r>
    </w:p>
    <w:p>
      <w:pPr>
        <w:pStyle w:val="ListParagraph"/>
        <w:numPr>
          <w:ilvl w:val="0"/>
          <w:numId w:val="3"/>
        </w:numPr>
        <w:spacing w:after="60"/>
      </w:pPr>
      <w:r>
        <w:rPr>
          <w:rFonts w:ascii="Calibri" w:cs="Calibri" w:eastAsia="Calibri" w:hAnsi="Calibri"/>
          <w:sz w:val="22"/>
          <w:szCs w:val="22"/>
        </w:rPr>
        <w:t xml:space="preserve">Documentar en la portada que ← → mueven el deslizador cuando tiene el foco.</w:t>
      </w:r>
    </w:p>
    <w:p>
      <w:pPr>
        <w:pStyle w:val="ListParagraph"/>
        <w:numPr>
          <w:ilvl w:val="0"/>
          <w:numId w:val="3"/>
        </w:numPr>
        <w:spacing w:after="60"/>
      </w:pPr>
      <w:r>
        <w:rPr>
          <w:rFonts w:ascii="Calibri" w:cs="Calibri" w:eastAsia="Calibri" w:hAnsi="Calibri"/>
          <w:sz w:val="22"/>
          <w:szCs w:val="22"/>
        </w:rPr>
        <w:t xml:space="preserve">Formatos en umbrales del Espectro («1000.00 fm», «0.00 neV»), «−0.0 %» en Microondas, código muerto (CapaTresMedios l. 148, LineaTransmision l. 169, Smith l. 170).</w:t>
      </w:r>
    </w:p>
    <w:p>
      <w:pPr>
        <w:pStyle w:val="ListParagraph"/>
        <w:numPr>
          <w:ilvl w:val="0"/>
          <w:numId w:val="3"/>
        </w:numPr>
        <w:spacing w:after="60"/>
      </w:pPr>
      <w:r>
        <w:rPr>
          <w:rFonts w:ascii="Calibri" w:cs="Calibri" w:eastAsia="Calibri" w:hAnsi="Calibri"/>
          <w:sz w:val="22"/>
          <w:szCs w:val="22"/>
        </w:rPr>
        <w:t xml:space="preserve">Guardar la figura de Anatomía en el formato indicado por la extensión o avisar de que es PNG.</w:t>
      </w:r>
    </w:p>
    <w:p>
      <w:pPr>
        <w:pStyle w:val="ListParagraph"/>
        <w:numPr>
          <w:ilvl w:val="0"/>
          <w:numId w:val="3"/>
        </w:numPr>
        <w:spacing w:after="60"/>
      </w:pPr>
      <w:r>
        <w:rPr>
          <w:rFonts w:ascii="Calibri" w:cs="Calibri" w:eastAsia="Calibri" w:hAnsi="Calibri"/>
          <w:sz w:val="22"/>
          <w:szCs w:val="22"/>
        </w:rPr>
        <w:t xml:space="preserve">Añadir una página «Guía para docentes» con el mapa explorador → subtema → práctica y las hipótesis de cada modelo.</w:t>
      </w:r>
    </w:p>
    <w:p>
      <w:pPr>
        <w:pStyle w:val="Heading1"/>
        <w:spacing w:after="160" w:before="360"/>
      </w:pPr>
      <w:r>
        <w:rPr>
          <w:rFonts w:ascii="Calibri" w:cs="Calibri" w:eastAsia="Calibri" w:hAnsi="Calibri"/>
        </w:rPr>
        <w:t xml:space="preserve">8. Referencias utilizadas en la verificación</w:t>
      </w:r>
    </w:p>
    <w:p>
      <w:pPr>
        <w:spacing w:after="120"/>
      </w:pPr>
      <w:r>
        <w:rPr>
          <w:rFonts w:ascii="Calibri" w:cs="Calibri" w:eastAsia="Calibri" w:hAnsi="Calibri"/>
          <w:sz w:val="22"/>
          <w:szCs w:val="22"/>
        </w:rPr>
        <w:t xml:space="preserve">Solo libros de la bibliografía del curso o de referencia estándar, citados por sección; no se usaron fuentes web ni se generaron DOI.</w:t>
      </w:r>
    </w:p>
    <w:p>
      <w:pPr>
        <w:pStyle w:val="ListParagraph"/>
        <w:numPr>
          <w:ilvl w:val="0"/>
          <w:numId w:val="2"/>
        </w:numPr>
        <w:spacing w:after="60"/>
      </w:pPr>
      <w:r>
        <w:rPr>
          <w:rFonts w:ascii="Calibri" w:cs="Calibri" w:eastAsia="Calibri" w:hAnsi="Calibri"/>
          <w:sz w:val="22"/>
          <w:szCs w:val="22"/>
        </w:rPr>
        <w:t xml:space="preserve">Griffiths, D. J., Introduction to Electrodynamics, 4.ª ed., Pearson, 2013: §2.2, §2.5, §4.4, §5.3 (ej. 5.6, 5.9), §7.2, §9.3.2–9.3.3 (ec. 9.100, 9.109, 9.112), §9.4.1, cap. 12.</w:t>
      </w:r>
    </w:p>
    <w:p>
      <w:pPr>
        <w:pStyle w:val="ListParagraph"/>
        <w:numPr>
          <w:ilvl w:val="0"/>
          <w:numId w:val="2"/>
        </w:numPr>
        <w:spacing w:after="60"/>
      </w:pPr>
      <w:r>
        <w:rPr>
          <w:rFonts w:ascii="Calibri" w:cs="Calibri" w:eastAsia="Calibri" w:hAnsi="Calibri"/>
          <w:sz w:val="22"/>
          <w:szCs w:val="22"/>
        </w:rPr>
        <w:t xml:space="preserve">Ulaby, F. T., Michielssen, E., Ravaioli, U., Fundamentals of Applied Electromagnetics, 6.ª ed., Pearson, 2010: §1-7, §2-7, §2-8, §4-10, §7-2, §7-4, §7-5 (ec. 7.66), §8-1, §8-2 (ec. 8.66–8.67), apéndice B.</w:t>
      </w:r>
    </w:p>
    <w:p>
      <w:pPr>
        <w:pStyle w:val="ListParagraph"/>
        <w:numPr>
          <w:ilvl w:val="0"/>
          <w:numId w:val="2"/>
        </w:numPr>
        <w:spacing w:after="60"/>
      </w:pPr>
      <w:r>
        <w:rPr>
          <w:rFonts w:ascii="Calibri" w:cs="Calibri" w:eastAsia="Calibri" w:hAnsi="Calibri"/>
          <w:sz w:val="22"/>
          <w:szCs w:val="22"/>
        </w:rPr>
        <w:t xml:space="preserve">Pozar, D. M., Microwave Engineering, 4.ª ed., Wiley, 2012: §2.3–2.4, §3.3–3.4, §14.3.</w:t>
      </w:r>
    </w:p>
    <w:p>
      <w:pPr>
        <w:pStyle w:val="ListParagraph"/>
        <w:numPr>
          <w:ilvl w:val="0"/>
          <w:numId w:val="2"/>
        </w:numPr>
        <w:spacing w:after="60"/>
      </w:pPr>
      <w:r>
        <w:rPr>
          <w:rFonts w:ascii="Calibri" w:cs="Calibri" w:eastAsia="Calibri" w:hAnsi="Calibri"/>
          <w:sz w:val="22"/>
          <w:szCs w:val="22"/>
        </w:rPr>
        <w:t xml:space="preserve">Balanis, C. A., Antenna Theory, 4.ª ed., Wiley, 2016: §2.12 (factor de pérdida por polarización).</w:t>
      </w:r>
    </w:p>
    <w:p>
      <w:pPr>
        <w:pStyle w:val="ListParagraph"/>
        <w:numPr>
          <w:ilvl w:val="0"/>
          <w:numId w:val="2"/>
        </w:numPr>
        <w:spacing w:after="60"/>
      </w:pPr>
      <w:r>
        <w:rPr>
          <w:rFonts w:ascii="Calibri" w:cs="Calibri" w:eastAsia="Calibri" w:hAnsi="Calibri"/>
          <w:sz w:val="22"/>
          <w:szCs w:val="22"/>
        </w:rPr>
        <w:t xml:space="preserve">Hecht, E., Optics, 4.ª ed., Addison‑Wesley, 2002: §4.6.2 (Fresnel, convención de signo), §9.7 (películas delgadas).</w:t>
      </w:r>
    </w:p>
    <w:p>
      <w:pPr>
        <w:pStyle w:val="ListParagraph"/>
        <w:numPr>
          <w:ilvl w:val="0"/>
          <w:numId w:val="2"/>
        </w:numPr>
        <w:spacing w:after="60"/>
      </w:pPr>
      <w:r>
        <w:rPr>
          <w:rFonts w:ascii="Calibri" w:cs="Calibri" w:eastAsia="Calibri" w:hAnsi="Calibri"/>
          <w:sz w:val="22"/>
          <w:szCs w:val="22"/>
        </w:rPr>
        <w:t xml:space="preserve">Jackson, J. D., Classical Electrodynamics, 3.ª ed., Wiley, 1999: §5.18, §8.1 (efecto piel).</w:t>
      </w:r>
    </w:p>
    <w:p>
      <w:pPr>
        <w:pStyle w:val="ListParagraph"/>
        <w:numPr>
          <w:ilvl w:val="0"/>
          <w:numId w:val="2"/>
        </w:numPr>
        <w:spacing w:after="60"/>
      </w:pPr>
      <w:r>
        <w:rPr>
          <w:rFonts w:ascii="Calibri" w:cs="Calibri" w:eastAsia="Calibri" w:hAnsi="Calibri"/>
          <w:sz w:val="22"/>
          <w:szCs w:val="22"/>
        </w:rPr>
        <w:t xml:space="preserve">Harris, C. R. et al., «Array programming with NumPy», Nature 585, 357–362 (2020), DOI 10.1038/s41586-020-2649-2 (citado por el propio explorador de Anatomía; verificado).</w:t>
      </w:r>
    </w:p>
    <w:p>
      <w:pPr>
        <w:pStyle w:val="ListParagraph"/>
        <w:numPr>
          <w:ilvl w:val="0"/>
          <w:numId w:val="2"/>
        </w:numPr>
        <w:spacing w:after="60"/>
      </w:pPr>
      <w:r>
        <w:rPr>
          <w:rFonts w:ascii="Calibri" w:cs="Calibri" w:eastAsia="Calibri" w:hAnsi="Calibri"/>
          <w:sz w:val="22"/>
          <w:szCs w:val="22"/>
        </w:rPr>
        <w:t xml:space="preserve">Hunter, J. D., «Matplotlib: A 2D graphics environment», Computing in Science &amp; Engineering 9, 90–95 (2007), DOI 10.1109/MCSE.2007.55 (ídem).</w:t>
      </w:r>
    </w:p>
    <w:p>
      <w:pPr>
        <w:spacing w:after="80"/>
      </w:pPr>
    </w:p>
    <w:p>
      <w:pPr>
        <w:spacing w:after="120"/>
      </w:pPr>
      <w:r>
        <w:rPr>
          <w:rFonts w:ascii="Calibri" w:cs="Calibri" w:eastAsia="Calibri" w:hAnsi="Calibri"/>
          <w:b/>
          <w:bCs/>
          <w:sz w:val="22"/>
          <w:szCs w:val="22"/>
        </w:rPr>
        <w:t xml:space="preserve">Nota sobre lo verificado y lo opinado. </w:t>
      </w:r>
      <w:r>
        <w:rPr>
          <w:rFonts w:ascii="Calibri" w:cs="Calibri" w:eastAsia="Calibri" w:hAnsi="Calibri"/>
          <w:sz w:val="20"/>
          <w:szCs w:val="20"/>
        </w:rPr>
        <w:t xml:space="preserve">Las secciones 4 y 5.1–5.2 son hechos reproducibles (código, valores y capturas disponibles). Las secciones 3, 5.3, 6 y 7 contienen nuestro juicio sobre alcance, convenciones y prioridad; la autora puede discrepar legítimamente de varias de ellas, en particular del valor del teflón, de los umbrales de régimen y del orden de las ampliaciones.</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6"/>
        <w:szCs w:val="16"/>
      </w:rPr>
      <w:t xml:space="preserve">Auditoría · Exploradores de Teoría Electromagnética · ENES Juriquilla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5597"/>
      <w:sz w:val="25"/>
      <w:szCs w:val="25"/>
    </w:rPr>
  </w:style>
  <w:style w:type="paragraph" w:styleId="Heading3">
    <w:name w:val="Heading 3"/>
    <w:basedOn w:val="Normal"/>
    <w:next w:val="Normal"/>
    <w:qFormat/>
    <w:pPr>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2026-10-19T19:02:40.500Z</dcterms:created>
  <dcterms:modified xsi:type="dcterms:W3CDTF">2026-10-19T19:02:40.507Z</dcterms:modified>
</cp:coreProperties>
</file>

<file path=docProps/custom.xml><?xml version="1.0" encoding="utf-8"?>
<Properties xmlns="http://schemas.openxmlformats.org/officeDocument/2006/custom-properties" xmlns:vt="http://schemas.openxmlformats.org/officeDocument/2006/docPropsVTypes"/>
</file>