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EDD" w:rsidRPr="00440896" w:rsidRDefault="000E6EDD" w:rsidP="000E6EDD">
      <w:pPr>
        <w:pStyle w:val="Titre3"/>
        <w:numPr>
          <w:ilvl w:val="3"/>
          <w:numId w:val="1"/>
        </w:numPr>
        <w:ind w:left="1560" w:hanging="426"/>
        <w:rPr>
          <w:rFonts w:ascii="Times New Roman" w:hAnsi="Times New Roman" w:cs="Times New Roman"/>
          <w:b/>
          <w:color w:val="000000" w:themeColor="text1"/>
          <w:highlight w:val="yellow"/>
        </w:rPr>
      </w:pPr>
      <w:bookmarkStart w:id="0" w:name="_Toc106037658"/>
      <w:r w:rsidRPr="004C6598">
        <w:rPr>
          <w:rFonts w:ascii="Times New Roman" w:hAnsi="Times New Roman" w:cs="Times New Roman"/>
          <w:b/>
          <w:color w:val="000000" w:themeColor="text1"/>
          <w:highlight w:val="yellow"/>
        </w:rPr>
        <w:t>Mod</w:t>
      </w:r>
      <w:r>
        <w:rPr>
          <w:rFonts w:ascii="Times New Roman" w:hAnsi="Times New Roman" w:cs="Times New Roman"/>
          <w:b/>
          <w:color w:val="000000" w:themeColor="text1"/>
          <w:highlight w:val="yellow"/>
        </w:rPr>
        <w:t>éliser l’orientation entre les hébergements en MECS</w:t>
      </w:r>
      <w:bookmarkEnd w:id="0"/>
    </w:p>
    <w:p w:rsidR="000E6EDD" w:rsidRPr="00440896" w:rsidRDefault="000E6EDD" w:rsidP="000E6EDD">
      <w:pPr>
        <w:spacing w:before="120" w:after="120" w:line="360" w:lineRule="auto"/>
        <w:ind w:left="709"/>
        <w:rPr>
          <w:i/>
        </w:rPr>
      </w:pPr>
      <w:r w:rsidRPr="00440896">
        <w:rPr>
          <w:i/>
        </w:rPr>
        <w:t>Premiers éléments sur la modélisation de l’orientation entre les hébergements en MECS</w:t>
      </w:r>
    </w:p>
    <w:p w:rsidR="000E6EDD" w:rsidRDefault="000E6EDD" w:rsidP="000E6EDD">
      <w:pPr>
        <w:spacing w:line="360" w:lineRule="auto"/>
        <w:ind w:firstLine="708"/>
        <w:jc w:val="both"/>
      </w:pPr>
      <w:r>
        <w:t>Dès lors, pour mieux comprendre les critères jouant dans la répartition des enfants entre les différents types d’hébergement tout en contrôlant l’effet important de l’âge qui n’explique pour autant pas tout, nous avons modélisé l’orientation entre les hébergements en MECS à l’aide d’un modèle multinomial.</w:t>
      </w:r>
    </w:p>
    <w:p w:rsidR="000E6EDD" w:rsidRDefault="000E6EDD" w:rsidP="000E6EDD">
      <w:pPr>
        <w:spacing w:line="360" w:lineRule="auto"/>
        <w:jc w:val="both"/>
      </w:pPr>
      <w:r>
        <w:t xml:space="preserve">Du fait d’un manque d’effectif dans la modalité « domicile » de la variable sur le type d’hébergement en MECS (HEBE), cette modalité a été regroupée avec celle d’ « assistant familial ».  On choisit de modéliser l’orientation entre les hébergements en MECS (HEBE) en fonction des variables suivante : </w:t>
      </w:r>
    </w:p>
    <w:p w:rsidR="000E6EDD" w:rsidRDefault="000E6EDD" w:rsidP="000E6EDD">
      <w:pPr>
        <w:pStyle w:val="Paragraphedeliste"/>
        <w:numPr>
          <w:ilvl w:val="0"/>
          <w:numId w:val="2"/>
        </w:numPr>
        <w:spacing w:line="360" w:lineRule="auto"/>
        <w:jc w:val="both"/>
      </w:pPr>
      <w:r>
        <w:t>L’âge d’entrée en MECS ;</w:t>
      </w:r>
    </w:p>
    <w:p w:rsidR="000E6EDD" w:rsidRDefault="000E6EDD" w:rsidP="000E6EDD">
      <w:pPr>
        <w:pStyle w:val="Paragraphedeliste"/>
        <w:numPr>
          <w:ilvl w:val="0"/>
          <w:numId w:val="2"/>
        </w:numPr>
        <w:spacing w:line="360" w:lineRule="auto"/>
        <w:jc w:val="both"/>
      </w:pPr>
      <w:r>
        <w:t>Le sexe ;</w:t>
      </w:r>
    </w:p>
    <w:p w:rsidR="000E6EDD" w:rsidRDefault="000E6EDD" w:rsidP="000E6EDD">
      <w:pPr>
        <w:pStyle w:val="Paragraphedeliste"/>
        <w:numPr>
          <w:ilvl w:val="0"/>
          <w:numId w:val="2"/>
        </w:numPr>
        <w:spacing w:line="360" w:lineRule="auto"/>
        <w:jc w:val="both"/>
      </w:pPr>
      <w:r>
        <w:t>Le fait d’être mineur non accompagné ;</w:t>
      </w:r>
    </w:p>
    <w:p w:rsidR="000E6EDD" w:rsidRDefault="000E6EDD" w:rsidP="000E6EDD">
      <w:pPr>
        <w:pStyle w:val="Paragraphedeliste"/>
        <w:numPr>
          <w:ilvl w:val="0"/>
          <w:numId w:val="2"/>
        </w:numPr>
        <w:spacing w:line="360" w:lineRule="auto"/>
        <w:jc w:val="both"/>
      </w:pPr>
      <w:r>
        <w:t>Le fait d’être en situation de handicap ;</w:t>
      </w:r>
    </w:p>
    <w:p w:rsidR="000E6EDD" w:rsidRDefault="000E6EDD" w:rsidP="000E6EDD">
      <w:pPr>
        <w:pStyle w:val="Paragraphedeliste"/>
        <w:numPr>
          <w:ilvl w:val="0"/>
          <w:numId w:val="2"/>
        </w:numPr>
        <w:spacing w:line="360" w:lineRule="auto"/>
        <w:jc w:val="both"/>
      </w:pPr>
      <w:r>
        <w:t>Le type d’hébergement avant l’entrée en MECS ;</w:t>
      </w:r>
    </w:p>
    <w:p w:rsidR="000E6EDD" w:rsidRDefault="000E6EDD" w:rsidP="000E6EDD">
      <w:pPr>
        <w:pStyle w:val="Paragraphedeliste"/>
        <w:numPr>
          <w:ilvl w:val="0"/>
          <w:numId w:val="2"/>
        </w:numPr>
        <w:spacing w:line="360" w:lineRule="auto"/>
        <w:jc w:val="both"/>
      </w:pPr>
      <w:r>
        <w:t>Le type de mesure.</w:t>
      </w:r>
    </w:p>
    <w:p w:rsidR="000E6EDD" w:rsidRDefault="000E6EDD" w:rsidP="000E6EDD">
      <w:pPr>
        <w:spacing w:line="360" w:lineRule="auto"/>
        <w:jc w:val="both"/>
      </w:pPr>
      <w:r>
        <w:t>Dans le modèle, le choix a été fait de mettre en référence la modalité d’hébergement collectif en MECS, puisque, comme nous l’avons, c’est le type d’hébergement pour 63.6% des enfants présents fin 2017 et il est pertinent de s’intéresser aux critères qui engendrent l’orientation vers un type d’hébergement différent que celui-ci.</w:t>
      </w:r>
    </w:p>
    <w:p w:rsidR="000E6EDD" w:rsidRDefault="000E6EDD" w:rsidP="000E6EDD">
      <w:pPr>
        <w:spacing w:line="360" w:lineRule="auto"/>
        <w:jc w:val="both"/>
      </w:pPr>
      <w:r>
        <w:t>Compte tenu de la significativité des différentes variables et du fait que les coefficients ne changeaient que très peu à l’ajout d’une nouvelle variable, le choix a été fait de ne présenter qu’un modèle complet présentant l’ensemble des variables précédemment évoquées.</w:t>
      </w:r>
    </w:p>
    <w:p w:rsidR="000E6EDD" w:rsidRPr="00221EDC" w:rsidRDefault="000E6EDD" w:rsidP="000E6EDD">
      <w:pPr>
        <w:pStyle w:val="Lgende"/>
        <w:spacing w:after="60"/>
        <w:jc w:val="center"/>
        <w:rPr>
          <w:b/>
          <w:color w:val="000000" w:themeColor="text1"/>
          <w:sz w:val="24"/>
          <w:szCs w:val="24"/>
        </w:rPr>
      </w:pPr>
      <w:r w:rsidRPr="00221EDC">
        <w:rPr>
          <w:b/>
          <w:color w:val="000000" w:themeColor="text1"/>
          <w:sz w:val="24"/>
          <w:szCs w:val="24"/>
        </w:rPr>
        <w:t xml:space="preserve">Tableau </w:t>
      </w:r>
      <w:r w:rsidRPr="00221EDC">
        <w:rPr>
          <w:b/>
          <w:color w:val="000000" w:themeColor="text1"/>
          <w:sz w:val="24"/>
          <w:szCs w:val="24"/>
        </w:rPr>
        <w:fldChar w:fldCharType="begin"/>
      </w:r>
      <w:r w:rsidRPr="00221EDC">
        <w:rPr>
          <w:b/>
          <w:color w:val="000000" w:themeColor="text1"/>
          <w:sz w:val="24"/>
          <w:szCs w:val="24"/>
        </w:rPr>
        <w:instrText xml:space="preserve"> SEQ Tableau \* ARABIC </w:instrText>
      </w:r>
      <w:r w:rsidRPr="00221EDC">
        <w:rPr>
          <w:b/>
          <w:color w:val="000000" w:themeColor="text1"/>
          <w:sz w:val="24"/>
          <w:szCs w:val="24"/>
        </w:rPr>
        <w:fldChar w:fldCharType="separate"/>
      </w:r>
      <w:r w:rsidRPr="00221EDC">
        <w:rPr>
          <w:b/>
          <w:noProof/>
          <w:color w:val="000000" w:themeColor="text1"/>
          <w:sz w:val="24"/>
          <w:szCs w:val="24"/>
        </w:rPr>
        <w:t>13</w:t>
      </w:r>
      <w:r w:rsidRPr="00221EDC">
        <w:rPr>
          <w:b/>
          <w:color w:val="000000" w:themeColor="text1"/>
          <w:sz w:val="24"/>
          <w:szCs w:val="24"/>
        </w:rPr>
        <w:fldChar w:fldCharType="end"/>
      </w:r>
      <w:r w:rsidRPr="00221EDC">
        <w:rPr>
          <w:b/>
          <w:color w:val="000000" w:themeColor="text1"/>
          <w:sz w:val="24"/>
          <w:szCs w:val="24"/>
        </w:rPr>
        <w:t xml:space="preserve"> – Modèle sur l’orientation entre les hébergements en MECS</w:t>
      </w:r>
    </w:p>
    <w:tbl>
      <w:tblPr>
        <w:tblW w:w="0" w:type="auto"/>
        <w:jc w:val="center"/>
        <w:shd w:val="clear" w:color="auto" w:fill="FFFFFF"/>
        <w:tblLayout w:type="fixed"/>
        <w:tblCellMar>
          <w:top w:w="6" w:type="dxa"/>
          <w:left w:w="15" w:type="dxa"/>
          <w:bottom w:w="6" w:type="dxa"/>
          <w:right w:w="15" w:type="dxa"/>
        </w:tblCellMar>
        <w:tblLook w:val="04A0" w:firstRow="1" w:lastRow="0" w:firstColumn="1" w:lastColumn="0" w:noHBand="0" w:noVBand="1"/>
      </w:tblPr>
      <w:tblGrid>
        <w:gridCol w:w="2516"/>
        <w:gridCol w:w="2416"/>
        <w:gridCol w:w="788"/>
        <w:gridCol w:w="1676"/>
        <w:gridCol w:w="1670"/>
      </w:tblGrid>
      <w:tr w:rsidR="000E6EDD" w:rsidRPr="00695E0D" w:rsidTr="00C96A6A">
        <w:trPr>
          <w:trHeight w:val="57"/>
          <w:tblHeader/>
          <w:jc w:val="center"/>
        </w:trPr>
        <w:tc>
          <w:tcPr>
            <w:tcW w:w="2516" w:type="dxa"/>
            <w:vMerge w:val="restart"/>
            <w:tcBorders>
              <w:top w:val="single" w:sz="18" w:space="0" w:color="auto"/>
            </w:tcBorders>
            <w:shd w:val="clear" w:color="auto" w:fill="FFFFFF"/>
          </w:tcPr>
          <w:p w:rsidR="000E6EDD" w:rsidRPr="00695E0D" w:rsidRDefault="000E6EDD" w:rsidP="00C96A6A">
            <w:pPr>
              <w:pStyle w:val="Sansinterligne"/>
              <w:rPr>
                <w:sz w:val="21"/>
                <w:szCs w:val="22"/>
              </w:rPr>
            </w:pPr>
          </w:p>
        </w:tc>
        <w:tc>
          <w:tcPr>
            <w:tcW w:w="2416" w:type="dxa"/>
            <w:vMerge w:val="restart"/>
            <w:tcBorders>
              <w:top w:val="single" w:sz="18" w:space="0" w:color="auto"/>
            </w:tcBorders>
            <w:shd w:val="clear" w:color="auto" w:fill="FFFFFF"/>
            <w:tcMar>
              <w:top w:w="75" w:type="dxa"/>
              <w:left w:w="75" w:type="dxa"/>
              <w:bottom w:w="90" w:type="dxa"/>
              <w:right w:w="75" w:type="dxa"/>
            </w:tcMar>
            <w:vAlign w:val="bottom"/>
            <w:hideMark/>
          </w:tcPr>
          <w:p w:rsidR="000E6EDD" w:rsidRPr="00695E0D" w:rsidRDefault="000E6EDD" w:rsidP="00C96A6A">
            <w:pPr>
              <w:pStyle w:val="Sansinterligne"/>
              <w:rPr>
                <w:sz w:val="21"/>
                <w:szCs w:val="22"/>
              </w:rPr>
            </w:pPr>
          </w:p>
        </w:tc>
        <w:tc>
          <w:tcPr>
            <w:tcW w:w="788" w:type="dxa"/>
            <w:tcBorders>
              <w:top w:val="single" w:sz="18" w:space="0" w:color="auto"/>
            </w:tcBorders>
            <w:shd w:val="clear" w:color="auto" w:fill="FFFFFF"/>
            <w:vAlign w:val="center"/>
          </w:tcPr>
          <w:p w:rsidR="000E6EDD" w:rsidRPr="00695E0D" w:rsidRDefault="000E6EDD" w:rsidP="00C96A6A">
            <w:pPr>
              <w:pStyle w:val="Sansinterligne"/>
              <w:jc w:val="center"/>
              <w:rPr>
                <w:b/>
                <w:bCs/>
                <w:sz w:val="21"/>
                <w:szCs w:val="22"/>
              </w:rPr>
            </w:pPr>
            <w:r w:rsidRPr="00695E0D">
              <w:rPr>
                <w:b/>
                <w:bCs/>
                <w:sz w:val="21"/>
                <w:szCs w:val="22"/>
              </w:rPr>
              <w:t>Collectif</w:t>
            </w:r>
          </w:p>
        </w:tc>
        <w:tc>
          <w:tcPr>
            <w:tcW w:w="1676" w:type="dxa"/>
            <w:tcBorders>
              <w:top w:val="single" w:sz="18" w:space="0" w:color="auto"/>
            </w:tcBorders>
            <w:shd w:val="clear" w:color="auto" w:fill="FFFFFF"/>
            <w:tcMar>
              <w:top w:w="0" w:type="dxa"/>
              <w:left w:w="60" w:type="dxa"/>
              <w:bottom w:w="0" w:type="dxa"/>
              <w:right w:w="60" w:type="dxa"/>
            </w:tcMar>
            <w:vAlign w:val="center"/>
            <w:hideMark/>
          </w:tcPr>
          <w:p w:rsidR="000E6EDD" w:rsidRPr="00695E0D" w:rsidRDefault="000E6EDD" w:rsidP="00C96A6A">
            <w:pPr>
              <w:pStyle w:val="Sansinterligne"/>
              <w:jc w:val="center"/>
              <w:rPr>
                <w:b/>
                <w:sz w:val="21"/>
                <w:szCs w:val="22"/>
              </w:rPr>
            </w:pPr>
            <w:r w:rsidRPr="00695E0D">
              <w:rPr>
                <w:b/>
                <w:sz w:val="21"/>
                <w:szCs w:val="22"/>
              </w:rPr>
              <w:t>Éclaté</w:t>
            </w:r>
          </w:p>
        </w:tc>
        <w:tc>
          <w:tcPr>
            <w:tcW w:w="1670" w:type="dxa"/>
            <w:tcBorders>
              <w:top w:val="single" w:sz="18" w:space="0" w:color="auto"/>
            </w:tcBorders>
            <w:shd w:val="clear" w:color="auto" w:fill="FFFFFF"/>
            <w:tcMar>
              <w:top w:w="0" w:type="dxa"/>
              <w:left w:w="60" w:type="dxa"/>
              <w:bottom w:w="0" w:type="dxa"/>
              <w:right w:w="0" w:type="dxa"/>
            </w:tcMar>
            <w:vAlign w:val="center"/>
            <w:hideMark/>
          </w:tcPr>
          <w:p w:rsidR="000E6EDD" w:rsidRPr="00695E0D" w:rsidRDefault="000E6EDD" w:rsidP="00C96A6A">
            <w:pPr>
              <w:pStyle w:val="Sansinterligne"/>
              <w:jc w:val="center"/>
              <w:rPr>
                <w:sz w:val="21"/>
                <w:szCs w:val="22"/>
              </w:rPr>
            </w:pPr>
            <w:r w:rsidRPr="00695E0D">
              <w:rPr>
                <w:b/>
                <w:bCs/>
                <w:sz w:val="21"/>
                <w:szCs w:val="22"/>
              </w:rPr>
              <w:t>Assistant familial ou domicile</w:t>
            </w:r>
          </w:p>
        </w:tc>
      </w:tr>
      <w:tr w:rsidR="000E6EDD" w:rsidRPr="00695E0D" w:rsidTr="00C96A6A">
        <w:trPr>
          <w:trHeight w:val="20"/>
          <w:tblHeader/>
          <w:jc w:val="center"/>
        </w:trPr>
        <w:tc>
          <w:tcPr>
            <w:tcW w:w="2516" w:type="dxa"/>
            <w:vMerge/>
            <w:tcBorders>
              <w:bottom w:val="single" w:sz="4" w:space="0" w:color="auto"/>
            </w:tcBorders>
            <w:shd w:val="clear" w:color="auto" w:fill="FFFFFF"/>
          </w:tcPr>
          <w:p w:rsidR="000E6EDD" w:rsidRPr="00695E0D" w:rsidRDefault="000E6EDD" w:rsidP="00C96A6A">
            <w:pPr>
              <w:pStyle w:val="Sansinterligne"/>
              <w:rPr>
                <w:sz w:val="21"/>
                <w:szCs w:val="22"/>
              </w:rPr>
            </w:pPr>
          </w:p>
        </w:tc>
        <w:tc>
          <w:tcPr>
            <w:tcW w:w="2416" w:type="dxa"/>
            <w:vMerge/>
            <w:tcBorders>
              <w:bottom w:val="single" w:sz="4" w:space="0" w:color="auto"/>
            </w:tcBorders>
            <w:shd w:val="clear" w:color="auto" w:fill="FFFFFF"/>
            <w:vAlign w:val="center"/>
            <w:hideMark/>
          </w:tcPr>
          <w:p w:rsidR="000E6EDD" w:rsidRPr="00695E0D" w:rsidRDefault="000E6EDD" w:rsidP="00C96A6A">
            <w:pPr>
              <w:pStyle w:val="Sansinterligne"/>
              <w:rPr>
                <w:sz w:val="21"/>
                <w:szCs w:val="22"/>
              </w:rPr>
            </w:pPr>
          </w:p>
        </w:tc>
        <w:tc>
          <w:tcPr>
            <w:tcW w:w="788" w:type="dxa"/>
            <w:tcBorders>
              <w:bottom w:val="single" w:sz="4" w:space="0" w:color="auto"/>
            </w:tcBorders>
            <w:shd w:val="clear" w:color="auto" w:fill="FFFFFF"/>
            <w:vAlign w:val="center"/>
          </w:tcPr>
          <w:p w:rsidR="000E6EDD" w:rsidRPr="00695E0D" w:rsidRDefault="000E6EDD" w:rsidP="00C96A6A">
            <w:pPr>
              <w:pStyle w:val="Sansinterligne"/>
              <w:jc w:val="center"/>
              <w:rPr>
                <w:bCs/>
                <w:sz w:val="21"/>
                <w:szCs w:val="22"/>
              </w:rPr>
            </w:pPr>
            <w:r w:rsidRPr="00695E0D">
              <w:rPr>
                <w:bCs/>
                <w:sz w:val="21"/>
                <w:szCs w:val="22"/>
              </w:rPr>
              <w:t>ref</w:t>
            </w:r>
          </w:p>
        </w:tc>
        <w:tc>
          <w:tcPr>
            <w:tcW w:w="1676" w:type="dxa"/>
            <w:tcBorders>
              <w:bottom w:val="single" w:sz="4" w:space="0" w:color="auto"/>
            </w:tcBorders>
            <w:shd w:val="clear" w:color="auto" w:fill="FFFFFF"/>
            <w:tcMar>
              <w:top w:w="75" w:type="dxa"/>
              <w:left w:w="75" w:type="dxa"/>
              <w:bottom w:w="90" w:type="dxa"/>
              <w:right w:w="75" w:type="dxa"/>
            </w:tcMar>
            <w:vAlign w:val="center"/>
            <w:hideMark/>
          </w:tcPr>
          <w:p w:rsidR="000E6EDD" w:rsidRPr="00695E0D" w:rsidRDefault="000E6EDD" w:rsidP="00C96A6A">
            <w:pPr>
              <w:pStyle w:val="Sansinterligne"/>
              <w:jc w:val="center"/>
              <w:rPr>
                <w:sz w:val="21"/>
                <w:szCs w:val="22"/>
              </w:rPr>
            </w:pPr>
            <w:r w:rsidRPr="00695E0D">
              <w:rPr>
                <w:bCs/>
                <w:sz w:val="21"/>
                <w:szCs w:val="22"/>
              </w:rPr>
              <w:t>OR</w:t>
            </w:r>
          </w:p>
        </w:tc>
        <w:tc>
          <w:tcPr>
            <w:tcW w:w="1670" w:type="dxa"/>
            <w:tcBorders>
              <w:bottom w:val="single" w:sz="2" w:space="0" w:color="auto"/>
            </w:tcBorders>
            <w:shd w:val="clear" w:color="auto" w:fill="FFFFFF"/>
            <w:tcMar>
              <w:top w:w="75" w:type="dxa"/>
              <w:left w:w="75" w:type="dxa"/>
              <w:bottom w:w="90" w:type="dxa"/>
              <w:right w:w="75" w:type="dxa"/>
            </w:tcMar>
            <w:vAlign w:val="center"/>
            <w:hideMark/>
          </w:tcPr>
          <w:p w:rsidR="000E6EDD" w:rsidRPr="00695E0D" w:rsidRDefault="000E6EDD" w:rsidP="00C96A6A">
            <w:pPr>
              <w:pStyle w:val="Sansinterligne"/>
              <w:jc w:val="center"/>
              <w:rPr>
                <w:sz w:val="21"/>
                <w:szCs w:val="22"/>
              </w:rPr>
            </w:pPr>
            <w:r w:rsidRPr="00695E0D">
              <w:rPr>
                <w:bCs/>
                <w:sz w:val="21"/>
                <w:szCs w:val="22"/>
              </w:rPr>
              <w:t>OR</w:t>
            </w:r>
          </w:p>
        </w:tc>
      </w:tr>
      <w:tr w:rsidR="000E6EDD" w:rsidRPr="00695E0D" w:rsidTr="00C96A6A">
        <w:trPr>
          <w:jc w:val="center"/>
        </w:trPr>
        <w:tc>
          <w:tcPr>
            <w:tcW w:w="2516" w:type="dxa"/>
            <w:vMerge w:val="restart"/>
            <w:shd w:val="clear" w:color="auto" w:fill="FFFFFF"/>
            <w:vAlign w:val="center"/>
          </w:tcPr>
          <w:p w:rsidR="000E6EDD" w:rsidRPr="00695E0D" w:rsidRDefault="000E6EDD" w:rsidP="00C96A6A">
            <w:pPr>
              <w:pStyle w:val="Sansinterligne"/>
              <w:rPr>
                <w:sz w:val="21"/>
                <w:szCs w:val="22"/>
              </w:rPr>
            </w:pPr>
            <w:r w:rsidRPr="00695E0D">
              <w:rPr>
                <w:b/>
                <w:bCs/>
                <w:sz w:val="21"/>
                <w:szCs w:val="22"/>
              </w:rPr>
              <w:t>Âge à l’entrée</w:t>
            </w: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0 à 3 ans</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4 à 6 ans</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0,36**</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0,23***</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7 à 12 ans</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0,49*</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0,18***</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13 à 14 ans</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1,02</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0,21***</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15 à 17 ans</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4,21***</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0,16***</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18 ans à plus</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15,5***</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0,13***</w:t>
            </w:r>
          </w:p>
        </w:tc>
      </w:tr>
      <w:tr w:rsidR="000E6EDD" w:rsidRPr="00695E0D" w:rsidTr="00C96A6A">
        <w:trPr>
          <w:jc w:val="center"/>
        </w:trPr>
        <w:tc>
          <w:tcPr>
            <w:tcW w:w="2516" w:type="dxa"/>
            <w:vMerge w:val="restart"/>
            <w:shd w:val="clear" w:color="auto" w:fill="FFFFFF"/>
            <w:vAlign w:val="center"/>
          </w:tcPr>
          <w:p w:rsidR="000E6EDD" w:rsidRPr="00695E0D" w:rsidRDefault="000E6EDD" w:rsidP="00C96A6A">
            <w:pPr>
              <w:pStyle w:val="Sansinterligne"/>
              <w:rPr>
                <w:b/>
                <w:sz w:val="21"/>
                <w:szCs w:val="22"/>
              </w:rPr>
            </w:pPr>
            <w:r w:rsidRPr="00695E0D">
              <w:rPr>
                <w:b/>
                <w:sz w:val="21"/>
                <w:szCs w:val="22"/>
              </w:rPr>
              <w:t>Sexe</w:t>
            </w: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Femme</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Homme</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1,13</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40635F">
              <w:rPr>
                <w:color w:val="333333"/>
                <w:sz w:val="20"/>
                <w:szCs w:val="21"/>
              </w:rPr>
              <w:t>1,17**</w:t>
            </w:r>
          </w:p>
        </w:tc>
      </w:tr>
      <w:tr w:rsidR="000E6EDD" w:rsidRPr="00695E0D" w:rsidTr="00C96A6A">
        <w:trPr>
          <w:jc w:val="center"/>
        </w:trPr>
        <w:tc>
          <w:tcPr>
            <w:tcW w:w="2516" w:type="dxa"/>
            <w:vMerge w:val="restart"/>
            <w:shd w:val="clear" w:color="auto" w:fill="FFFFFF"/>
          </w:tcPr>
          <w:p w:rsidR="000E6EDD" w:rsidRPr="00695E0D" w:rsidRDefault="000E6EDD" w:rsidP="00C96A6A">
            <w:pPr>
              <w:pStyle w:val="Sansinterligne"/>
              <w:rPr>
                <w:sz w:val="21"/>
                <w:szCs w:val="22"/>
              </w:rPr>
            </w:pPr>
            <w:r w:rsidRPr="00695E0D">
              <w:rPr>
                <w:b/>
                <w:bCs/>
                <w:sz w:val="21"/>
                <w:szCs w:val="22"/>
              </w:rPr>
              <w:t>Type de mesure</w:t>
            </w: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Mesure touchant la responsabilité parentale</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Mesure administrative Mineur</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4,30***</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0,59*</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Mesure administrative Jeune Majeur</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0,72**</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0,66***</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Judiciaire confié</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1,21</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0,93</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rPr>
                <w:sz w:val="21"/>
                <w:szCs w:val="22"/>
              </w:rPr>
            </w:pPr>
            <w:r w:rsidRPr="00695E0D">
              <w:rPr>
                <w:sz w:val="21"/>
                <w:szCs w:val="22"/>
              </w:rPr>
              <w:t>Judiciaire direct juge</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1,82***</w:t>
            </w:r>
          </w:p>
        </w:tc>
        <w:tc>
          <w:tcPr>
            <w:tcW w:w="1670" w:type="dxa"/>
            <w:shd w:val="clear" w:color="auto" w:fill="FFFFFF"/>
            <w:tcMar>
              <w:top w:w="120" w:type="dxa"/>
              <w:left w:w="75" w:type="dxa"/>
              <w:bottom w:w="120" w:type="dxa"/>
              <w:right w:w="75" w:type="dxa"/>
            </w:tcMar>
            <w:vAlign w:val="center"/>
            <w:hideMark/>
          </w:tcPr>
          <w:p w:rsidR="000E6EDD" w:rsidRPr="00695E0D" w:rsidRDefault="000E6EDD" w:rsidP="00C96A6A">
            <w:pPr>
              <w:pStyle w:val="Sansinterligne"/>
              <w:jc w:val="center"/>
              <w:rPr>
                <w:sz w:val="20"/>
                <w:szCs w:val="21"/>
              </w:rPr>
            </w:pPr>
            <w:r w:rsidRPr="00695E0D">
              <w:rPr>
                <w:sz w:val="20"/>
                <w:szCs w:val="21"/>
              </w:rPr>
              <w:t>0,53**</w:t>
            </w:r>
          </w:p>
        </w:tc>
      </w:tr>
      <w:tr w:rsidR="000E6EDD" w:rsidRPr="00695E0D" w:rsidTr="00C96A6A">
        <w:trPr>
          <w:jc w:val="center"/>
        </w:trPr>
        <w:tc>
          <w:tcPr>
            <w:tcW w:w="2516" w:type="dxa"/>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tcPr>
          <w:p w:rsidR="000E6EDD" w:rsidRPr="00695E0D" w:rsidRDefault="000E6EDD" w:rsidP="00C96A6A">
            <w:pPr>
              <w:pStyle w:val="Sansinterligne"/>
              <w:rPr>
                <w:sz w:val="21"/>
                <w:szCs w:val="22"/>
              </w:rPr>
            </w:pPr>
            <w:r w:rsidRPr="00695E0D">
              <w:rPr>
                <w:sz w:val="21"/>
                <w:szCs w:val="22"/>
              </w:rPr>
              <w:t>Milieu ouvert</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695E0D">
              <w:rPr>
                <w:sz w:val="20"/>
                <w:szCs w:val="21"/>
              </w:rPr>
              <w:t>71,2***</w:t>
            </w:r>
          </w:p>
        </w:tc>
        <w:tc>
          <w:tcPr>
            <w:tcW w:w="1670"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695E0D">
              <w:rPr>
                <w:sz w:val="20"/>
                <w:szCs w:val="21"/>
              </w:rPr>
              <w:t>51,9***</w:t>
            </w:r>
          </w:p>
        </w:tc>
      </w:tr>
      <w:tr w:rsidR="000E6EDD" w:rsidRPr="00695E0D" w:rsidTr="00C96A6A">
        <w:trPr>
          <w:jc w:val="center"/>
        </w:trPr>
        <w:tc>
          <w:tcPr>
            <w:tcW w:w="2516" w:type="dxa"/>
            <w:shd w:val="clear" w:color="auto" w:fill="FFFFFF"/>
          </w:tcPr>
          <w:p w:rsidR="000E6EDD" w:rsidRPr="00695E0D" w:rsidRDefault="000E6EDD" w:rsidP="00C96A6A">
            <w:pPr>
              <w:pStyle w:val="Sansinterligne"/>
              <w:rPr>
                <w:sz w:val="21"/>
                <w:szCs w:val="22"/>
              </w:rPr>
            </w:pPr>
          </w:p>
        </w:tc>
        <w:tc>
          <w:tcPr>
            <w:tcW w:w="2416" w:type="dxa"/>
            <w:shd w:val="clear" w:color="auto" w:fill="FFFFFF"/>
            <w:tcMar>
              <w:top w:w="120" w:type="dxa"/>
              <w:left w:w="75" w:type="dxa"/>
              <w:bottom w:w="120" w:type="dxa"/>
              <w:right w:w="75" w:type="dxa"/>
            </w:tcMar>
            <w:vAlign w:val="center"/>
          </w:tcPr>
          <w:p w:rsidR="000E6EDD" w:rsidRPr="00695E0D" w:rsidRDefault="000E6EDD" w:rsidP="00C96A6A">
            <w:pPr>
              <w:pStyle w:val="Sansinterligne"/>
              <w:rPr>
                <w:sz w:val="21"/>
                <w:szCs w:val="22"/>
              </w:rPr>
            </w:pPr>
            <w:r w:rsidRPr="00695E0D">
              <w:rPr>
                <w:sz w:val="21"/>
                <w:szCs w:val="22"/>
              </w:rPr>
              <w:t>Autre</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695E0D">
              <w:rPr>
                <w:sz w:val="20"/>
                <w:szCs w:val="21"/>
              </w:rPr>
              <w:t>1,41</w:t>
            </w:r>
          </w:p>
        </w:tc>
        <w:tc>
          <w:tcPr>
            <w:tcW w:w="1670"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695E0D">
              <w:rPr>
                <w:sz w:val="20"/>
                <w:szCs w:val="21"/>
              </w:rPr>
              <w:t>6,96***</w:t>
            </w:r>
          </w:p>
        </w:tc>
      </w:tr>
      <w:tr w:rsidR="000E6EDD" w:rsidRPr="00695E0D" w:rsidTr="00C96A6A">
        <w:trPr>
          <w:jc w:val="center"/>
        </w:trPr>
        <w:tc>
          <w:tcPr>
            <w:tcW w:w="2516" w:type="dxa"/>
            <w:shd w:val="clear" w:color="auto" w:fill="FFFFFF"/>
          </w:tcPr>
          <w:p w:rsidR="000E6EDD" w:rsidRPr="00695E0D" w:rsidRDefault="000E6EDD" w:rsidP="00C96A6A">
            <w:pPr>
              <w:pStyle w:val="Sansinterligne"/>
              <w:rPr>
                <w:sz w:val="21"/>
                <w:szCs w:val="22"/>
              </w:rPr>
            </w:pPr>
            <w:r w:rsidRPr="00695E0D">
              <w:rPr>
                <w:b/>
                <w:bCs/>
                <w:sz w:val="21"/>
                <w:szCs w:val="22"/>
              </w:rPr>
              <w:t>Mineur non accompagné</w:t>
            </w:r>
          </w:p>
        </w:tc>
        <w:tc>
          <w:tcPr>
            <w:tcW w:w="2416" w:type="dxa"/>
            <w:shd w:val="clear" w:color="auto" w:fill="FFFFFF"/>
            <w:tcMar>
              <w:top w:w="120" w:type="dxa"/>
              <w:left w:w="75" w:type="dxa"/>
              <w:bottom w:w="120" w:type="dxa"/>
              <w:right w:w="75" w:type="dxa"/>
            </w:tcMar>
          </w:tcPr>
          <w:p w:rsidR="000E6EDD" w:rsidRPr="00695E0D" w:rsidRDefault="000E6EDD" w:rsidP="00C96A6A">
            <w:pPr>
              <w:pStyle w:val="Sansinterligne"/>
              <w:rPr>
                <w:sz w:val="21"/>
                <w:szCs w:val="22"/>
              </w:rPr>
            </w:pPr>
            <w:r w:rsidRPr="00695E0D">
              <w:rPr>
                <w:sz w:val="21"/>
                <w:szCs w:val="22"/>
              </w:rPr>
              <w:t>: oui</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695E0D">
              <w:rPr>
                <w:sz w:val="20"/>
                <w:szCs w:val="21"/>
              </w:rPr>
              <w:t>1,34***</w:t>
            </w:r>
          </w:p>
        </w:tc>
        <w:tc>
          <w:tcPr>
            <w:tcW w:w="1670"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695E0D">
              <w:rPr>
                <w:sz w:val="20"/>
                <w:szCs w:val="21"/>
              </w:rPr>
              <w:t>0,14***</w:t>
            </w:r>
          </w:p>
        </w:tc>
      </w:tr>
      <w:tr w:rsidR="000E6EDD" w:rsidRPr="00695E0D" w:rsidTr="00C96A6A">
        <w:trPr>
          <w:jc w:val="center"/>
        </w:trPr>
        <w:tc>
          <w:tcPr>
            <w:tcW w:w="2516" w:type="dxa"/>
            <w:shd w:val="clear" w:color="auto" w:fill="FFFFFF"/>
          </w:tcPr>
          <w:p w:rsidR="000E6EDD" w:rsidRPr="00695E0D" w:rsidRDefault="000E6EDD" w:rsidP="00C96A6A">
            <w:pPr>
              <w:pStyle w:val="Sansinterligne"/>
              <w:rPr>
                <w:sz w:val="21"/>
                <w:szCs w:val="22"/>
              </w:rPr>
            </w:pPr>
            <w:r w:rsidRPr="00695E0D">
              <w:rPr>
                <w:b/>
                <w:bCs/>
                <w:sz w:val="21"/>
                <w:szCs w:val="22"/>
              </w:rPr>
              <w:t>En situation d’handicap</w:t>
            </w:r>
          </w:p>
        </w:tc>
        <w:tc>
          <w:tcPr>
            <w:tcW w:w="2416" w:type="dxa"/>
            <w:shd w:val="clear" w:color="auto" w:fill="FFFFFF"/>
            <w:tcMar>
              <w:top w:w="120" w:type="dxa"/>
              <w:left w:w="75" w:type="dxa"/>
              <w:bottom w:w="120" w:type="dxa"/>
              <w:right w:w="75" w:type="dxa"/>
            </w:tcMar>
          </w:tcPr>
          <w:p w:rsidR="000E6EDD" w:rsidRPr="00695E0D" w:rsidRDefault="000E6EDD" w:rsidP="00C96A6A">
            <w:pPr>
              <w:pStyle w:val="Sansinterligne"/>
              <w:rPr>
                <w:sz w:val="21"/>
                <w:szCs w:val="22"/>
              </w:rPr>
            </w:pPr>
            <w:r w:rsidRPr="00695E0D">
              <w:rPr>
                <w:sz w:val="21"/>
                <w:szCs w:val="22"/>
              </w:rPr>
              <w:t>: oui</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695E0D">
              <w:rPr>
                <w:sz w:val="20"/>
                <w:szCs w:val="21"/>
              </w:rPr>
              <w:t>0,66***</w:t>
            </w:r>
          </w:p>
        </w:tc>
        <w:tc>
          <w:tcPr>
            <w:tcW w:w="1670"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695E0D">
              <w:rPr>
                <w:sz w:val="20"/>
                <w:szCs w:val="21"/>
              </w:rPr>
              <w:t>1,07</w:t>
            </w:r>
          </w:p>
        </w:tc>
      </w:tr>
      <w:tr w:rsidR="000E6EDD" w:rsidRPr="00695E0D" w:rsidTr="00C96A6A">
        <w:trPr>
          <w:jc w:val="center"/>
        </w:trPr>
        <w:tc>
          <w:tcPr>
            <w:tcW w:w="2516" w:type="dxa"/>
            <w:vMerge w:val="restart"/>
            <w:shd w:val="clear" w:color="auto" w:fill="FFFFFF"/>
          </w:tcPr>
          <w:p w:rsidR="000E6EDD" w:rsidRPr="00695E0D" w:rsidRDefault="000E6EDD" w:rsidP="00C96A6A">
            <w:pPr>
              <w:pStyle w:val="Sansinterligne"/>
              <w:rPr>
                <w:b/>
                <w:bCs/>
                <w:sz w:val="21"/>
                <w:szCs w:val="22"/>
              </w:rPr>
            </w:pPr>
            <w:r w:rsidRPr="00695E0D">
              <w:rPr>
                <w:b/>
                <w:bCs/>
                <w:sz w:val="21"/>
                <w:szCs w:val="22"/>
              </w:rPr>
              <w:t>Type d’hébergement avant l’entrée en MEC</w:t>
            </w:r>
          </w:p>
        </w:tc>
        <w:tc>
          <w:tcPr>
            <w:tcW w:w="2416" w:type="dxa"/>
            <w:shd w:val="clear" w:color="auto" w:fill="FFFFFF"/>
            <w:tcMar>
              <w:top w:w="120" w:type="dxa"/>
              <w:left w:w="75" w:type="dxa"/>
              <w:bottom w:w="120" w:type="dxa"/>
              <w:right w:w="75" w:type="dxa"/>
            </w:tcMar>
            <w:vAlign w:val="center"/>
          </w:tcPr>
          <w:p w:rsidR="000E6EDD" w:rsidRPr="00695E0D" w:rsidRDefault="000E6EDD" w:rsidP="00C96A6A">
            <w:pPr>
              <w:pStyle w:val="Sansinterligne"/>
              <w:rPr>
                <w:sz w:val="21"/>
                <w:szCs w:val="22"/>
              </w:rPr>
            </w:pPr>
            <w:r w:rsidRPr="0040635F">
              <w:rPr>
                <w:color w:val="333333"/>
                <w:sz w:val="21"/>
                <w:szCs w:val="22"/>
              </w:rPr>
              <w:t>Collectif</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695E0D">
              <w:rPr>
                <w:sz w:val="20"/>
                <w:szCs w:val="21"/>
              </w:rPr>
              <w:t>—</w:t>
            </w:r>
          </w:p>
        </w:tc>
        <w:tc>
          <w:tcPr>
            <w:tcW w:w="1670"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695E0D">
              <w:rPr>
                <w:sz w:val="20"/>
                <w:szCs w:val="21"/>
              </w:rPr>
              <w:t>—</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b/>
                <w:bCs/>
                <w:sz w:val="21"/>
                <w:szCs w:val="22"/>
              </w:rPr>
            </w:pPr>
          </w:p>
        </w:tc>
        <w:tc>
          <w:tcPr>
            <w:tcW w:w="2416" w:type="dxa"/>
            <w:shd w:val="clear" w:color="auto" w:fill="FFFFFF"/>
            <w:tcMar>
              <w:top w:w="120" w:type="dxa"/>
              <w:left w:w="75" w:type="dxa"/>
              <w:bottom w:w="120" w:type="dxa"/>
              <w:right w:w="75" w:type="dxa"/>
            </w:tcMar>
            <w:vAlign w:val="center"/>
          </w:tcPr>
          <w:p w:rsidR="000E6EDD" w:rsidRPr="00695E0D" w:rsidRDefault="000E6EDD" w:rsidP="00C96A6A">
            <w:pPr>
              <w:pStyle w:val="Sansinterligne"/>
              <w:rPr>
                <w:sz w:val="21"/>
                <w:szCs w:val="22"/>
              </w:rPr>
            </w:pPr>
            <w:r w:rsidRPr="0040635F">
              <w:rPr>
                <w:color w:val="333333"/>
                <w:sz w:val="21"/>
                <w:szCs w:val="22"/>
              </w:rPr>
              <w:t>Assistant familial</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40635F">
              <w:rPr>
                <w:color w:val="333333"/>
                <w:sz w:val="20"/>
                <w:szCs w:val="21"/>
              </w:rPr>
              <w:t>0,73**</w:t>
            </w:r>
          </w:p>
        </w:tc>
        <w:tc>
          <w:tcPr>
            <w:tcW w:w="1670"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40635F">
              <w:rPr>
                <w:color w:val="333333"/>
                <w:sz w:val="20"/>
                <w:szCs w:val="21"/>
              </w:rPr>
              <w:t>0,96</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b/>
                <w:bCs/>
                <w:sz w:val="21"/>
                <w:szCs w:val="22"/>
              </w:rPr>
            </w:pPr>
          </w:p>
        </w:tc>
        <w:tc>
          <w:tcPr>
            <w:tcW w:w="2416" w:type="dxa"/>
            <w:shd w:val="clear" w:color="auto" w:fill="FFFFFF"/>
            <w:tcMar>
              <w:top w:w="120" w:type="dxa"/>
              <w:left w:w="75" w:type="dxa"/>
              <w:bottom w:w="120" w:type="dxa"/>
              <w:right w:w="75" w:type="dxa"/>
            </w:tcMar>
            <w:vAlign w:val="center"/>
          </w:tcPr>
          <w:p w:rsidR="000E6EDD" w:rsidRPr="00695E0D" w:rsidRDefault="000E6EDD" w:rsidP="00C96A6A">
            <w:pPr>
              <w:pStyle w:val="Sansinterligne"/>
              <w:rPr>
                <w:sz w:val="21"/>
                <w:szCs w:val="22"/>
              </w:rPr>
            </w:pPr>
            <w:r w:rsidRPr="0040635F">
              <w:rPr>
                <w:color w:val="333333"/>
                <w:sz w:val="21"/>
                <w:szCs w:val="22"/>
              </w:rPr>
              <w:t>Famille</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40635F">
              <w:rPr>
                <w:color w:val="333333"/>
                <w:sz w:val="20"/>
                <w:szCs w:val="21"/>
              </w:rPr>
              <w:t>0,77***</w:t>
            </w:r>
          </w:p>
        </w:tc>
        <w:tc>
          <w:tcPr>
            <w:tcW w:w="1670"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40635F">
              <w:rPr>
                <w:color w:val="333333"/>
                <w:sz w:val="20"/>
                <w:szCs w:val="21"/>
              </w:rPr>
              <w:t>1,66***</w:t>
            </w:r>
          </w:p>
        </w:tc>
      </w:tr>
      <w:tr w:rsidR="000E6EDD" w:rsidRPr="00695E0D" w:rsidTr="00C96A6A">
        <w:trPr>
          <w:jc w:val="center"/>
        </w:trPr>
        <w:tc>
          <w:tcPr>
            <w:tcW w:w="2516" w:type="dxa"/>
            <w:vMerge/>
            <w:shd w:val="clear" w:color="auto" w:fill="FFFFFF"/>
          </w:tcPr>
          <w:p w:rsidR="000E6EDD" w:rsidRPr="00695E0D" w:rsidRDefault="000E6EDD" w:rsidP="00C96A6A">
            <w:pPr>
              <w:pStyle w:val="Sansinterligne"/>
              <w:rPr>
                <w:b/>
                <w:bCs/>
                <w:sz w:val="21"/>
                <w:szCs w:val="22"/>
              </w:rPr>
            </w:pPr>
          </w:p>
        </w:tc>
        <w:tc>
          <w:tcPr>
            <w:tcW w:w="2416" w:type="dxa"/>
            <w:shd w:val="clear" w:color="auto" w:fill="FFFFFF"/>
            <w:tcMar>
              <w:top w:w="120" w:type="dxa"/>
              <w:left w:w="75" w:type="dxa"/>
              <w:bottom w:w="120" w:type="dxa"/>
              <w:right w:w="75" w:type="dxa"/>
            </w:tcMar>
            <w:vAlign w:val="center"/>
          </w:tcPr>
          <w:p w:rsidR="000E6EDD" w:rsidRPr="00695E0D" w:rsidRDefault="000E6EDD" w:rsidP="00C96A6A">
            <w:pPr>
              <w:pStyle w:val="Sansinterligne"/>
              <w:rPr>
                <w:sz w:val="21"/>
                <w:szCs w:val="22"/>
              </w:rPr>
            </w:pPr>
            <w:r w:rsidRPr="0040635F">
              <w:rPr>
                <w:color w:val="333333"/>
                <w:sz w:val="21"/>
                <w:szCs w:val="22"/>
              </w:rPr>
              <w:t>Logt accompagné</w:t>
            </w:r>
          </w:p>
        </w:tc>
        <w:tc>
          <w:tcPr>
            <w:tcW w:w="788" w:type="dxa"/>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40635F">
              <w:rPr>
                <w:color w:val="333333"/>
                <w:sz w:val="20"/>
                <w:szCs w:val="21"/>
              </w:rPr>
              <w:t>2,45***</w:t>
            </w:r>
          </w:p>
        </w:tc>
        <w:tc>
          <w:tcPr>
            <w:tcW w:w="1670" w:type="dxa"/>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40635F">
              <w:rPr>
                <w:color w:val="333333"/>
                <w:sz w:val="20"/>
                <w:szCs w:val="21"/>
              </w:rPr>
              <w:t>1,29</w:t>
            </w:r>
          </w:p>
        </w:tc>
      </w:tr>
      <w:tr w:rsidR="000E6EDD" w:rsidRPr="00695E0D" w:rsidTr="00C96A6A">
        <w:trPr>
          <w:jc w:val="center"/>
        </w:trPr>
        <w:tc>
          <w:tcPr>
            <w:tcW w:w="2516" w:type="dxa"/>
            <w:vMerge/>
            <w:tcBorders>
              <w:bottom w:val="single" w:sz="18" w:space="0" w:color="auto"/>
            </w:tcBorders>
            <w:shd w:val="clear" w:color="auto" w:fill="FFFFFF"/>
          </w:tcPr>
          <w:p w:rsidR="000E6EDD" w:rsidRPr="00695E0D" w:rsidRDefault="000E6EDD" w:rsidP="00C96A6A">
            <w:pPr>
              <w:pStyle w:val="Sansinterligne"/>
              <w:rPr>
                <w:b/>
                <w:bCs/>
                <w:sz w:val="21"/>
                <w:szCs w:val="22"/>
              </w:rPr>
            </w:pPr>
          </w:p>
        </w:tc>
        <w:tc>
          <w:tcPr>
            <w:tcW w:w="2416" w:type="dxa"/>
            <w:tcBorders>
              <w:bottom w:val="single" w:sz="18" w:space="0" w:color="auto"/>
            </w:tcBorders>
            <w:shd w:val="clear" w:color="auto" w:fill="FFFFFF"/>
            <w:tcMar>
              <w:top w:w="120" w:type="dxa"/>
              <w:left w:w="75" w:type="dxa"/>
              <w:bottom w:w="120" w:type="dxa"/>
              <w:right w:w="75" w:type="dxa"/>
            </w:tcMar>
            <w:vAlign w:val="center"/>
          </w:tcPr>
          <w:p w:rsidR="000E6EDD" w:rsidRPr="00695E0D" w:rsidRDefault="000E6EDD" w:rsidP="00C96A6A">
            <w:pPr>
              <w:pStyle w:val="Sansinterligne"/>
              <w:rPr>
                <w:sz w:val="21"/>
                <w:szCs w:val="22"/>
              </w:rPr>
            </w:pPr>
            <w:r w:rsidRPr="0040635F">
              <w:rPr>
                <w:color w:val="333333"/>
                <w:sz w:val="21"/>
                <w:szCs w:val="22"/>
              </w:rPr>
              <w:t>Logt hors</w:t>
            </w:r>
          </w:p>
        </w:tc>
        <w:tc>
          <w:tcPr>
            <w:tcW w:w="788" w:type="dxa"/>
            <w:tcBorders>
              <w:bottom w:val="single" w:sz="18" w:space="0" w:color="auto"/>
            </w:tcBorders>
            <w:shd w:val="clear" w:color="auto" w:fill="FFFFFF"/>
            <w:vAlign w:val="center"/>
          </w:tcPr>
          <w:p w:rsidR="000E6EDD" w:rsidRPr="00695E0D" w:rsidRDefault="000E6EDD" w:rsidP="00C96A6A">
            <w:pPr>
              <w:pStyle w:val="Sansinterligne"/>
              <w:jc w:val="center"/>
              <w:rPr>
                <w:sz w:val="21"/>
                <w:szCs w:val="22"/>
              </w:rPr>
            </w:pPr>
            <w:r w:rsidRPr="00695E0D">
              <w:rPr>
                <w:sz w:val="21"/>
                <w:szCs w:val="22"/>
              </w:rPr>
              <w:t>ref</w:t>
            </w:r>
          </w:p>
        </w:tc>
        <w:tc>
          <w:tcPr>
            <w:tcW w:w="1676" w:type="dxa"/>
            <w:tcBorders>
              <w:bottom w:val="single" w:sz="18" w:space="0" w:color="auto"/>
            </w:tcBorders>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40635F">
              <w:rPr>
                <w:color w:val="333333"/>
                <w:sz w:val="20"/>
                <w:szCs w:val="21"/>
              </w:rPr>
              <w:t>0,95</w:t>
            </w:r>
          </w:p>
        </w:tc>
        <w:tc>
          <w:tcPr>
            <w:tcW w:w="1670" w:type="dxa"/>
            <w:tcBorders>
              <w:bottom w:val="single" w:sz="18" w:space="0" w:color="auto"/>
            </w:tcBorders>
            <w:shd w:val="clear" w:color="auto" w:fill="FFFFFF"/>
            <w:tcMar>
              <w:top w:w="120" w:type="dxa"/>
              <w:left w:w="75" w:type="dxa"/>
              <w:bottom w:w="120" w:type="dxa"/>
              <w:right w:w="75" w:type="dxa"/>
            </w:tcMar>
            <w:vAlign w:val="center"/>
          </w:tcPr>
          <w:p w:rsidR="000E6EDD" w:rsidRPr="00695E0D" w:rsidRDefault="000E6EDD" w:rsidP="00C96A6A">
            <w:pPr>
              <w:pStyle w:val="Sansinterligne"/>
              <w:jc w:val="center"/>
              <w:rPr>
                <w:sz w:val="20"/>
                <w:szCs w:val="21"/>
              </w:rPr>
            </w:pPr>
            <w:r w:rsidRPr="0040635F">
              <w:rPr>
                <w:color w:val="333333"/>
                <w:sz w:val="20"/>
                <w:szCs w:val="21"/>
              </w:rPr>
              <w:t>1,07</w:t>
            </w:r>
          </w:p>
        </w:tc>
      </w:tr>
      <w:tr w:rsidR="000E6EDD" w:rsidRPr="00695E0D" w:rsidTr="00C96A6A">
        <w:trPr>
          <w:trHeight w:val="581"/>
          <w:jc w:val="center"/>
        </w:trPr>
        <w:tc>
          <w:tcPr>
            <w:tcW w:w="9066" w:type="dxa"/>
            <w:gridSpan w:val="5"/>
            <w:tcBorders>
              <w:top w:val="single" w:sz="18" w:space="0" w:color="auto"/>
            </w:tcBorders>
            <w:shd w:val="clear" w:color="auto" w:fill="FFFFFF"/>
          </w:tcPr>
          <w:p w:rsidR="000E6EDD" w:rsidRPr="00695E0D" w:rsidRDefault="000E6EDD" w:rsidP="00C96A6A">
            <w:pPr>
              <w:pStyle w:val="Sansinterligne"/>
              <w:rPr>
                <w:sz w:val="20"/>
                <w:szCs w:val="22"/>
              </w:rPr>
            </w:pPr>
            <w:r w:rsidRPr="00695E0D">
              <w:rPr>
                <w:sz w:val="20"/>
                <w:szCs w:val="22"/>
              </w:rPr>
              <w:t>*p&lt;0.05; **p&lt;0.01; ***p&lt;0.001</w:t>
            </w:r>
            <w:r>
              <w:rPr>
                <w:sz w:val="20"/>
                <w:szCs w:val="22"/>
              </w:rPr>
              <w:t xml:space="preserve">                                                                </w:t>
            </w:r>
            <w:r w:rsidRPr="00800F3F">
              <w:rPr>
                <w:i/>
                <w:sz w:val="20"/>
              </w:rPr>
              <w:t>Source : Enquête ES-PE 2017, DREES.</w:t>
            </w:r>
          </w:p>
          <w:p w:rsidR="000E6EDD" w:rsidRPr="00FC6A30" w:rsidRDefault="000E6EDD" w:rsidP="00C96A6A">
            <w:pPr>
              <w:jc w:val="right"/>
              <w:rPr>
                <w:i/>
                <w:sz w:val="20"/>
              </w:rPr>
            </w:pPr>
            <w:r w:rsidRPr="00695E0D">
              <w:rPr>
                <w:sz w:val="20"/>
                <w:szCs w:val="22"/>
              </w:rPr>
              <w:t>OR = rapport de cotes</w:t>
            </w:r>
            <w:r>
              <w:rPr>
                <w:sz w:val="20"/>
                <w:szCs w:val="22"/>
              </w:rPr>
              <w:t xml:space="preserve">    </w:t>
            </w:r>
            <w:r w:rsidRPr="00800F3F">
              <w:rPr>
                <w:i/>
                <w:sz w:val="20"/>
              </w:rPr>
              <w:t>Champ : Parmi les</w:t>
            </w:r>
            <w:r>
              <w:rPr>
                <w:i/>
                <w:sz w:val="20"/>
              </w:rPr>
              <w:t xml:space="preserve"> 15 162</w:t>
            </w:r>
            <w:r w:rsidRPr="00800F3F">
              <w:rPr>
                <w:i/>
                <w:sz w:val="20"/>
              </w:rPr>
              <w:t xml:space="preserve"> enfants présents au 15/12/2017</w:t>
            </w:r>
            <w:r>
              <w:rPr>
                <w:i/>
                <w:sz w:val="20"/>
              </w:rPr>
              <w:t xml:space="preserve"> sans réponses incomplètes à l’enquête, données pondérées.</w:t>
            </w:r>
          </w:p>
        </w:tc>
      </w:tr>
    </w:tbl>
    <w:p w:rsidR="000E6EDD" w:rsidRPr="00992FA3" w:rsidRDefault="000E6EDD" w:rsidP="000E6EDD">
      <w:pPr>
        <w:spacing w:line="360" w:lineRule="auto"/>
        <w:ind w:firstLine="708"/>
        <w:jc w:val="right"/>
        <w:rPr>
          <w:color w:val="767171" w:themeColor="background2" w:themeShade="80"/>
        </w:rPr>
      </w:pPr>
      <w:r w:rsidRPr="00800F3F">
        <w:rPr>
          <w:i/>
          <w:sz w:val="20"/>
        </w:rPr>
        <w:t>Lecture :</w:t>
      </w:r>
      <w:r w:rsidRPr="00EC6DEC">
        <w:rPr>
          <w:i/>
          <w:sz w:val="20"/>
        </w:rPr>
        <w:t>.</w:t>
      </w:r>
    </w:p>
    <w:p w:rsidR="000E6EDD" w:rsidRDefault="000E6EDD" w:rsidP="000E6EDD">
      <w:pPr>
        <w:rPr>
          <w:color w:val="000000" w:themeColor="text1"/>
        </w:rPr>
      </w:pPr>
      <w:r>
        <w:rPr>
          <w:color w:val="000000" w:themeColor="text1"/>
        </w:rPr>
        <w:tab/>
        <w:t xml:space="preserve">L’effet de l’âge </w:t>
      </w:r>
    </w:p>
    <w:p w:rsidR="000E6EDD" w:rsidRDefault="000E6EDD" w:rsidP="000E6EDD">
      <w:pPr>
        <w:rPr>
          <w:color w:val="000000" w:themeColor="text1"/>
        </w:rPr>
      </w:pPr>
    </w:p>
    <w:p w:rsidR="00742907" w:rsidRDefault="000E6EDD"/>
    <w:p w:rsidR="000E6EDD" w:rsidRDefault="000E6EDD"/>
    <w:p w:rsidR="000E6EDD" w:rsidRDefault="000E6EDD">
      <w:r>
        <w:t>Annexes :</w:t>
      </w:r>
    </w:p>
    <w:p w:rsidR="000E6EDD" w:rsidRDefault="000E6EDD"/>
    <w:p w:rsidR="000E6EDD" w:rsidRDefault="000E6EDD" w:rsidP="000E6EDD">
      <w:pPr>
        <w:rPr>
          <w:b/>
          <w:color w:val="000000" w:themeColor="text1"/>
        </w:rPr>
      </w:pPr>
    </w:p>
    <w:p w:rsidR="000E6EDD" w:rsidRPr="00D70DAA" w:rsidRDefault="000E6EDD" w:rsidP="000E6EDD">
      <w:pPr>
        <w:spacing w:before="120" w:after="120"/>
        <w:jc w:val="center"/>
        <w:rPr>
          <w:b/>
        </w:rPr>
      </w:pPr>
      <w:r w:rsidRPr="00D17CAA">
        <w:rPr>
          <w:b/>
        </w:rPr>
        <w:t xml:space="preserve">Table </w:t>
      </w:r>
      <w:r>
        <w:rPr>
          <w:b/>
        </w:rPr>
        <w:t>– Modèle sur l’orientation entre les hébergements en MECS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552"/>
        <w:gridCol w:w="1855"/>
        <w:gridCol w:w="825"/>
        <w:gridCol w:w="1897"/>
        <w:gridCol w:w="1937"/>
      </w:tblGrid>
      <w:tr w:rsidR="000E6EDD" w:rsidRPr="0040635F" w:rsidTr="00C96A6A">
        <w:trPr>
          <w:tblHeader/>
          <w:jc w:val="center"/>
        </w:trPr>
        <w:tc>
          <w:tcPr>
            <w:tcW w:w="2552" w:type="dxa"/>
            <w:vMerge w:val="restart"/>
            <w:tcBorders>
              <w:top w:val="single" w:sz="18" w:space="0" w:color="auto"/>
            </w:tcBorders>
            <w:shd w:val="clear" w:color="auto" w:fill="FFFFFF"/>
          </w:tcPr>
          <w:p w:rsidR="000E6EDD" w:rsidRPr="0040635F" w:rsidRDefault="000E6EDD" w:rsidP="00C96A6A">
            <w:pPr>
              <w:pStyle w:val="Sansinterligne"/>
              <w:rPr>
                <w:sz w:val="22"/>
                <w:szCs w:val="22"/>
              </w:rPr>
            </w:pPr>
          </w:p>
        </w:tc>
        <w:tc>
          <w:tcPr>
            <w:tcW w:w="1855" w:type="dxa"/>
            <w:vMerge w:val="restart"/>
            <w:tcBorders>
              <w:top w:val="single" w:sz="18" w:space="0" w:color="auto"/>
            </w:tcBorders>
            <w:shd w:val="clear" w:color="auto" w:fill="FFFFFF"/>
            <w:tcMar>
              <w:top w:w="75" w:type="dxa"/>
              <w:left w:w="75" w:type="dxa"/>
              <w:bottom w:w="90" w:type="dxa"/>
              <w:right w:w="75" w:type="dxa"/>
            </w:tcMar>
            <w:vAlign w:val="bottom"/>
            <w:hideMark/>
          </w:tcPr>
          <w:p w:rsidR="000E6EDD" w:rsidRPr="0040635F" w:rsidRDefault="000E6EDD" w:rsidP="00C96A6A">
            <w:pPr>
              <w:pStyle w:val="Sansinterligne"/>
              <w:rPr>
                <w:sz w:val="22"/>
                <w:szCs w:val="22"/>
              </w:rPr>
            </w:pPr>
          </w:p>
        </w:tc>
        <w:tc>
          <w:tcPr>
            <w:tcW w:w="0" w:type="auto"/>
            <w:tcBorders>
              <w:top w:val="single" w:sz="18" w:space="0" w:color="auto"/>
            </w:tcBorders>
            <w:shd w:val="clear" w:color="auto" w:fill="FFFFFF"/>
            <w:vAlign w:val="center"/>
          </w:tcPr>
          <w:p w:rsidR="000E6EDD" w:rsidRPr="0040635F" w:rsidRDefault="000E6EDD" w:rsidP="00C96A6A">
            <w:pPr>
              <w:pStyle w:val="Sansinterligne"/>
              <w:jc w:val="center"/>
              <w:rPr>
                <w:b/>
                <w:bCs/>
                <w:sz w:val="22"/>
                <w:szCs w:val="22"/>
              </w:rPr>
            </w:pPr>
            <w:r w:rsidRPr="0040635F">
              <w:rPr>
                <w:b/>
                <w:bCs/>
                <w:sz w:val="22"/>
                <w:szCs w:val="22"/>
              </w:rPr>
              <w:t>Collectif</w:t>
            </w:r>
          </w:p>
        </w:tc>
        <w:tc>
          <w:tcPr>
            <w:tcW w:w="0" w:type="auto"/>
            <w:tcBorders>
              <w:top w:val="single" w:sz="18" w:space="0" w:color="auto"/>
            </w:tcBorders>
            <w:shd w:val="clear" w:color="auto" w:fill="FFFFFF"/>
            <w:tcMar>
              <w:top w:w="0" w:type="dxa"/>
              <w:left w:w="60" w:type="dxa"/>
              <w:bottom w:w="0" w:type="dxa"/>
              <w:right w:w="60" w:type="dxa"/>
            </w:tcMar>
            <w:vAlign w:val="center"/>
            <w:hideMark/>
          </w:tcPr>
          <w:p w:rsidR="000E6EDD" w:rsidRPr="0040635F" w:rsidRDefault="000E6EDD" w:rsidP="00C96A6A">
            <w:pPr>
              <w:pStyle w:val="Sansinterligne"/>
              <w:jc w:val="center"/>
              <w:rPr>
                <w:b/>
                <w:sz w:val="22"/>
                <w:szCs w:val="22"/>
              </w:rPr>
            </w:pPr>
            <w:r w:rsidRPr="0040635F">
              <w:rPr>
                <w:b/>
                <w:sz w:val="22"/>
                <w:szCs w:val="22"/>
              </w:rPr>
              <w:t>Éclaté ou automone, autre</w:t>
            </w:r>
          </w:p>
        </w:tc>
        <w:tc>
          <w:tcPr>
            <w:tcW w:w="0" w:type="auto"/>
            <w:tcBorders>
              <w:top w:val="single" w:sz="18" w:space="0" w:color="auto"/>
            </w:tcBorders>
            <w:shd w:val="clear" w:color="auto" w:fill="FFFFFF"/>
            <w:tcMar>
              <w:top w:w="0" w:type="dxa"/>
              <w:left w:w="60" w:type="dxa"/>
              <w:bottom w:w="0" w:type="dxa"/>
              <w:right w:w="0" w:type="dxa"/>
            </w:tcMar>
            <w:vAlign w:val="center"/>
            <w:hideMark/>
          </w:tcPr>
          <w:p w:rsidR="000E6EDD" w:rsidRPr="0040635F" w:rsidRDefault="000E6EDD" w:rsidP="00C96A6A">
            <w:pPr>
              <w:pStyle w:val="Sansinterligne"/>
              <w:jc w:val="center"/>
              <w:rPr>
                <w:sz w:val="22"/>
                <w:szCs w:val="22"/>
              </w:rPr>
            </w:pPr>
            <w:r w:rsidRPr="0040635F">
              <w:rPr>
                <w:b/>
                <w:bCs/>
                <w:sz w:val="22"/>
                <w:szCs w:val="22"/>
              </w:rPr>
              <w:t>Assistant familial ou domicile</w:t>
            </w:r>
          </w:p>
        </w:tc>
      </w:tr>
      <w:tr w:rsidR="000E6EDD" w:rsidRPr="0040635F" w:rsidTr="00C96A6A">
        <w:trPr>
          <w:tblHeader/>
          <w:jc w:val="center"/>
        </w:trPr>
        <w:tc>
          <w:tcPr>
            <w:tcW w:w="2552" w:type="dxa"/>
            <w:vMerge/>
            <w:tcBorders>
              <w:bottom w:val="single" w:sz="4" w:space="0" w:color="auto"/>
            </w:tcBorders>
            <w:shd w:val="clear" w:color="auto" w:fill="FFFFFF"/>
          </w:tcPr>
          <w:p w:rsidR="000E6EDD" w:rsidRPr="0040635F" w:rsidRDefault="000E6EDD" w:rsidP="00C96A6A">
            <w:pPr>
              <w:pStyle w:val="Sansinterligne"/>
              <w:rPr>
                <w:sz w:val="22"/>
                <w:szCs w:val="22"/>
              </w:rPr>
            </w:pPr>
          </w:p>
        </w:tc>
        <w:tc>
          <w:tcPr>
            <w:tcW w:w="1855" w:type="dxa"/>
            <w:vMerge/>
            <w:tcBorders>
              <w:bottom w:val="single" w:sz="4" w:space="0" w:color="auto"/>
            </w:tcBorders>
            <w:shd w:val="clear" w:color="auto" w:fill="FFFFFF"/>
            <w:vAlign w:val="center"/>
            <w:hideMark/>
          </w:tcPr>
          <w:p w:rsidR="000E6EDD" w:rsidRPr="0040635F" w:rsidRDefault="000E6EDD" w:rsidP="00C96A6A">
            <w:pPr>
              <w:pStyle w:val="Sansinterligne"/>
              <w:rPr>
                <w:sz w:val="22"/>
                <w:szCs w:val="22"/>
              </w:rPr>
            </w:pPr>
          </w:p>
        </w:tc>
        <w:tc>
          <w:tcPr>
            <w:tcW w:w="0" w:type="auto"/>
            <w:tcBorders>
              <w:bottom w:val="single" w:sz="4" w:space="0" w:color="auto"/>
            </w:tcBorders>
            <w:shd w:val="clear" w:color="auto" w:fill="FFFFFF"/>
            <w:vAlign w:val="center"/>
          </w:tcPr>
          <w:p w:rsidR="000E6EDD" w:rsidRPr="0040635F" w:rsidRDefault="000E6EDD" w:rsidP="00C96A6A">
            <w:pPr>
              <w:pStyle w:val="Sansinterligne"/>
              <w:jc w:val="center"/>
              <w:rPr>
                <w:bCs/>
                <w:sz w:val="22"/>
                <w:szCs w:val="22"/>
              </w:rPr>
            </w:pPr>
            <w:r w:rsidRPr="0040635F">
              <w:rPr>
                <w:bCs/>
                <w:sz w:val="22"/>
                <w:szCs w:val="22"/>
              </w:rPr>
              <w:t>ref</w:t>
            </w:r>
          </w:p>
        </w:tc>
        <w:tc>
          <w:tcPr>
            <w:tcW w:w="0" w:type="auto"/>
            <w:tcBorders>
              <w:bottom w:val="single" w:sz="4" w:space="0" w:color="auto"/>
            </w:tcBorders>
            <w:shd w:val="clear" w:color="auto" w:fill="FFFFFF"/>
            <w:tcMar>
              <w:top w:w="75" w:type="dxa"/>
              <w:left w:w="75" w:type="dxa"/>
              <w:bottom w:w="90" w:type="dxa"/>
              <w:right w:w="75" w:type="dxa"/>
            </w:tcMar>
            <w:vAlign w:val="center"/>
            <w:hideMark/>
          </w:tcPr>
          <w:p w:rsidR="000E6EDD" w:rsidRPr="0040635F" w:rsidRDefault="000E6EDD" w:rsidP="00C96A6A">
            <w:pPr>
              <w:pStyle w:val="Sansinterligne"/>
              <w:jc w:val="center"/>
              <w:rPr>
                <w:sz w:val="22"/>
                <w:szCs w:val="22"/>
              </w:rPr>
            </w:pPr>
            <w:r w:rsidRPr="0040635F">
              <w:rPr>
                <w:bCs/>
                <w:sz w:val="22"/>
                <w:szCs w:val="22"/>
              </w:rPr>
              <w:t>OR</w:t>
            </w:r>
          </w:p>
        </w:tc>
        <w:tc>
          <w:tcPr>
            <w:tcW w:w="0" w:type="auto"/>
            <w:tcBorders>
              <w:bottom w:val="single" w:sz="2" w:space="0" w:color="auto"/>
            </w:tcBorders>
            <w:shd w:val="clear" w:color="auto" w:fill="FFFFFF"/>
            <w:tcMar>
              <w:top w:w="75" w:type="dxa"/>
              <w:left w:w="75" w:type="dxa"/>
              <w:bottom w:w="90" w:type="dxa"/>
              <w:right w:w="75" w:type="dxa"/>
            </w:tcMar>
            <w:vAlign w:val="center"/>
            <w:hideMark/>
          </w:tcPr>
          <w:p w:rsidR="000E6EDD" w:rsidRPr="0040635F" w:rsidRDefault="000E6EDD" w:rsidP="00C96A6A">
            <w:pPr>
              <w:pStyle w:val="Sansinterligne"/>
              <w:jc w:val="center"/>
              <w:rPr>
                <w:sz w:val="22"/>
                <w:szCs w:val="22"/>
              </w:rPr>
            </w:pPr>
            <w:r w:rsidRPr="0040635F">
              <w:rPr>
                <w:bCs/>
                <w:sz w:val="22"/>
                <w:szCs w:val="22"/>
              </w:rPr>
              <w:t>OR</w:t>
            </w:r>
          </w:p>
        </w:tc>
      </w:tr>
      <w:tr w:rsidR="000E6EDD" w:rsidRPr="00D919F5" w:rsidTr="00C96A6A">
        <w:trPr>
          <w:jc w:val="center"/>
        </w:trPr>
        <w:tc>
          <w:tcPr>
            <w:tcW w:w="2552" w:type="dxa"/>
            <w:vMerge w:val="restart"/>
            <w:shd w:val="clear" w:color="auto" w:fill="FFFFFF"/>
            <w:vAlign w:val="center"/>
          </w:tcPr>
          <w:p w:rsidR="000E6EDD" w:rsidRPr="0040635F" w:rsidRDefault="000E6EDD" w:rsidP="00C96A6A">
            <w:pPr>
              <w:pStyle w:val="Sansinterligne"/>
              <w:rPr>
                <w:sz w:val="22"/>
                <w:szCs w:val="22"/>
              </w:rPr>
            </w:pPr>
            <w:r w:rsidRPr="0040635F">
              <w:rPr>
                <w:b/>
                <w:bCs/>
                <w:sz w:val="22"/>
                <w:szCs w:val="22"/>
              </w:rPr>
              <w:t>Âge à l’entrée</w:t>
            </w:r>
          </w:p>
        </w:tc>
        <w:tc>
          <w:tcPr>
            <w:tcW w:w="1855" w:type="dxa"/>
            <w:shd w:val="clear" w:color="auto" w:fill="FFFFFF"/>
            <w:tcMar>
              <w:top w:w="120" w:type="dxa"/>
              <w:left w:w="75" w:type="dxa"/>
              <w:bottom w:w="120" w:type="dxa"/>
              <w:right w:w="75" w:type="dxa"/>
            </w:tcMar>
            <w:vAlign w:val="center"/>
            <w:hideMark/>
          </w:tcPr>
          <w:p w:rsidR="000E6EDD" w:rsidRPr="0040635F" w:rsidRDefault="000E6EDD" w:rsidP="00C96A6A">
            <w:pPr>
              <w:pStyle w:val="Sansinterligne"/>
              <w:rPr>
                <w:sz w:val="22"/>
                <w:szCs w:val="22"/>
              </w:rPr>
            </w:pPr>
            <w:r w:rsidRPr="0040635F">
              <w:rPr>
                <w:sz w:val="22"/>
                <w:szCs w:val="22"/>
              </w:rPr>
              <w:t>0 à 3 ans</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w:t>
            </w:r>
          </w:p>
        </w:tc>
      </w:tr>
      <w:tr w:rsidR="000E6EDD" w:rsidRPr="00D919F5" w:rsidTr="00C96A6A">
        <w:trPr>
          <w:jc w:val="center"/>
        </w:trPr>
        <w:tc>
          <w:tcPr>
            <w:tcW w:w="2552" w:type="dxa"/>
            <w:vMerge/>
            <w:shd w:val="clear" w:color="auto" w:fill="FFFFFF"/>
          </w:tcPr>
          <w:p w:rsidR="000E6EDD" w:rsidRPr="0040635F" w:rsidRDefault="000E6EDD" w:rsidP="00C96A6A">
            <w:pPr>
              <w:pStyle w:val="Sansinterligne"/>
              <w:rPr>
                <w:sz w:val="22"/>
                <w:szCs w:val="22"/>
              </w:rPr>
            </w:pPr>
          </w:p>
        </w:tc>
        <w:tc>
          <w:tcPr>
            <w:tcW w:w="1855" w:type="dxa"/>
            <w:shd w:val="clear" w:color="auto" w:fill="FFFFFF"/>
            <w:tcMar>
              <w:top w:w="120" w:type="dxa"/>
              <w:left w:w="75" w:type="dxa"/>
              <w:bottom w:w="120" w:type="dxa"/>
              <w:right w:w="75" w:type="dxa"/>
            </w:tcMar>
            <w:vAlign w:val="center"/>
            <w:hideMark/>
          </w:tcPr>
          <w:p w:rsidR="000E6EDD" w:rsidRPr="0040635F" w:rsidRDefault="000E6EDD" w:rsidP="00C96A6A">
            <w:pPr>
              <w:pStyle w:val="Sansinterligne"/>
              <w:rPr>
                <w:sz w:val="22"/>
                <w:szCs w:val="22"/>
              </w:rPr>
            </w:pPr>
            <w:r w:rsidRPr="0040635F">
              <w:rPr>
                <w:sz w:val="22"/>
                <w:szCs w:val="22"/>
              </w:rPr>
              <w:t>4 à 6 ans</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0,37**</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0,25***</w:t>
            </w:r>
          </w:p>
        </w:tc>
      </w:tr>
      <w:tr w:rsidR="000E6EDD" w:rsidRPr="00D919F5" w:rsidTr="00C96A6A">
        <w:trPr>
          <w:jc w:val="center"/>
        </w:trPr>
        <w:tc>
          <w:tcPr>
            <w:tcW w:w="2552" w:type="dxa"/>
            <w:vMerge/>
            <w:shd w:val="clear" w:color="auto" w:fill="FFFFFF"/>
          </w:tcPr>
          <w:p w:rsidR="000E6EDD" w:rsidRPr="0040635F" w:rsidRDefault="000E6EDD" w:rsidP="00C96A6A">
            <w:pPr>
              <w:pStyle w:val="Sansinterligne"/>
              <w:rPr>
                <w:sz w:val="22"/>
                <w:szCs w:val="22"/>
              </w:rPr>
            </w:pPr>
          </w:p>
        </w:tc>
        <w:tc>
          <w:tcPr>
            <w:tcW w:w="1855" w:type="dxa"/>
            <w:shd w:val="clear" w:color="auto" w:fill="FFFFFF"/>
            <w:tcMar>
              <w:top w:w="120" w:type="dxa"/>
              <w:left w:w="75" w:type="dxa"/>
              <w:bottom w:w="120" w:type="dxa"/>
              <w:right w:w="75" w:type="dxa"/>
            </w:tcMar>
            <w:vAlign w:val="center"/>
            <w:hideMark/>
          </w:tcPr>
          <w:p w:rsidR="000E6EDD" w:rsidRPr="0040635F" w:rsidRDefault="000E6EDD" w:rsidP="00C96A6A">
            <w:pPr>
              <w:pStyle w:val="Sansinterligne"/>
              <w:rPr>
                <w:sz w:val="22"/>
                <w:szCs w:val="22"/>
              </w:rPr>
            </w:pPr>
            <w:r w:rsidRPr="0040635F">
              <w:rPr>
                <w:sz w:val="22"/>
                <w:szCs w:val="22"/>
              </w:rPr>
              <w:t>7 à 12 ans</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0,51*</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0,19***</w:t>
            </w:r>
          </w:p>
        </w:tc>
      </w:tr>
      <w:tr w:rsidR="000E6EDD" w:rsidRPr="00D919F5" w:rsidTr="00C96A6A">
        <w:trPr>
          <w:jc w:val="center"/>
        </w:trPr>
        <w:tc>
          <w:tcPr>
            <w:tcW w:w="2552" w:type="dxa"/>
            <w:vMerge/>
            <w:shd w:val="clear" w:color="auto" w:fill="FFFFFF"/>
          </w:tcPr>
          <w:p w:rsidR="000E6EDD" w:rsidRPr="0040635F" w:rsidRDefault="000E6EDD" w:rsidP="00C96A6A">
            <w:pPr>
              <w:pStyle w:val="Sansinterligne"/>
              <w:rPr>
                <w:sz w:val="22"/>
                <w:szCs w:val="22"/>
              </w:rPr>
            </w:pPr>
          </w:p>
        </w:tc>
        <w:tc>
          <w:tcPr>
            <w:tcW w:w="1855" w:type="dxa"/>
            <w:shd w:val="clear" w:color="auto" w:fill="FFFFFF"/>
            <w:tcMar>
              <w:top w:w="120" w:type="dxa"/>
              <w:left w:w="75" w:type="dxa"/>
              <w:bottom w:w="120" w:type="dxa"/>
              <w:right w:w="75" w:type="dxa"/>
            </w:tcMar>
            <w:vAlign w:val="center"/>
            <w:hideMark/>
          </w:tcPr>
          <w:p w:rsidR="000E6EDD" w:rsidRPr="0040635F" w:rsidRDefault="000E6EDD" w:rsidP="00C96A6A">
            <w:pPr>
              <w:pStyle w:val="Sansinterligne"/>
              <w:rPr>
                <w:sz w:val="22"/>
                <w:szCs w:val="22"/>
              </w:rPr>
            </w:pPr>
            <w:r w:rsidRPr="0040635F">
              <w:rPr>
                <w:sz w:val="22"/>
                <w:szCs w:val="22"/>
              </w:rPr>
              <w:t>13 à 14 ans</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1,18</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0,24***</w:t>
            </w:r>
          </w:p>
        </w:tc>
      </w:tr>
      <w:tr w:rsidR="000E6EDD" w:rsidRPr="00D919F5" w:rsidTr="00C96A6A">
        <w:trPr>
          <w:jc w:val="center"/>
        </w:trPr>
        <w:tc>
          <w:tcPr>
            <w:tcW w:w="2552" w:type="dxa"/>
            <w:vMerge/>
            <w:shd w:val="clear" w:color="auto" w:fill="FFFFFF"/>
          </w:tcPr>
          <w:p w:rsidR="000E6EDD" w:rsidRPr="0040635F" w:rsidRDefault="000E6EDD" w:rsidP="00C96A6A">
            <w:pPr>
              <w:pStyle w:val="Sansinterligne"/>
              <w:rPr>
                <w:sz w:val="22"/>
                <w:szCs w:val="22"/>
              </w:rPr>
            </w:pPr>
          </w:p>
        </w:tc>
        <w:tc>
          <w:tcPr>
            <w:tcW w:w="1855" w:type="dxa"/>
            <w:shd w:val="clear" w:color="auto" w:fill="FFFFFF"/>
            <w:tcMar>
              <w:top w:w="120" w:type="dxa"/>
              <w:left w:w="75" w:type="dxa"/>
              <w:bottom w:w="120" w:type="dxa"/>
              <w:right w:w="75" w:type="dxa"/>
            </w:tcMar>
            <w:vAlign w:val="center"/>
            <w:hideMark/>
          </w:tcPr>
          <w:p w:rsidR="000E6EDD" w:rsidRPr="0040635F" w:rsidRDefault="000E6EDD" w:rsidP="00C96A6A">
            <w:pPr>
              <w:pStyle w:val="Sansinterligne"/>
              <w:rPr>
                <w:sz w:val="22"/>
                <w:szCs w:val="22"/>
              </w:rPr>
            </w:pPr>
            <w:r w:rsidRPr="0040635F">
              <w:rPr>
                <w:sz w:val="22"/>
                <w:szCs w:val="22"/>
              </w:rPr>
              <w:t>15 à 17 ans</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5,69***</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0,19***</w:t>
            </w:r>
          </w:p>
        </w:tc>
      </w:tr>
      <w:tr w:rsidR="000E6EDD" w:rsidRPr="00D919F5" w:rsidTr="00C96A6A">
        <w:trPr>
          <w:jc w:val="center"/>
        </w:trPr>
        <w:tc>
          <w:tcPr>
            <w:tcW w:w="2552" w:type="dxa"/>
            <w:vMerge/>
            <w:shd w:val="clear" w:color="auto" w:fill="FFFFFF"/>
          </w:tcPr>
          <w:p w:rsidR="000E6EDD" w:rsidRPr="0040635F" w:rsidRDefault="000E6EDD" w:rsidP="00C96A6A">
            <w:pPr>
              <w:pStyle w:val="Sansinterligne"/>
              <w:rPr>
                <w:sz w:val="22"/>
                <w:szCs w:val="22"/>
              </w:rPr>
            </w:pPr>
          </w:p>
        </w:tc>
        <w:tc>
          <w:tcPr>
            <w:tcW w:w="1855" w:type="dxa"/>
            <w:shd w:val="clear" w:color="auto" w:fill="FFFFFF"/>
            <w:tcMar>
              <w:top w:w="120" w:type="dxa"/>
              <w:left w:w="75" w:type="dxa"/>
              <w:bottom w:w="120" w:type="dxa"/>
              <w:right w:w="75" w:type="dxa"/>
            </w:tcMar>
            <w:vAlign w:val="center"/>
            <w:hideMark/>
          </w:tcPr>
          <w:p w:rsidR="000E6EDD" w:rsidRPr="0040635F" w:rsidRDefault="000E6EDD" w:rsidP="00C96A6A">
            <w:pPr>
              <w:pStyle w:val="Sansinterligne"/>
              <w:rPr>
                <w:sz w:val="22"/>
                <w:szCs w:val="22"/>
              </w:rPr>
            </w:pPr>
            <w:r w:rsidRPr="0040635F">
              <w:rPr>
                <w:sz w:val="22"/>
                <w:szCs w:val="22"/>
              </w:rPr>
              <w:t>18 ans à plus</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51,8***</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0,14***</w:t>
            </w:r>
          </w:p>
        </w:tc>
      </w:tr>
      <w:tr w:rsidR="000E6EDD" w:rsidRPr="00D919F5" w:rsidTr="00C96A6A">
        <w:trPr>
          <w:jc w:val="center"/>
        </w:trPr>
        <w:tc>
          <w:tcPr>
            <w:tcW w:w="2552" w:type="dxa"/>
            <w:vMerge w:val="restart"/>
            <w:shd w:val="clear" w:color="auto" w:fill="FFFFFF"/>
            <w:vAlign w:val="center"/>
          </w:tcPr>
          <w:p w:rsidR="000E6EDD" w:rsidRPr="0040635F" w:rsidRDefault="000E6EDD" w:rsidP="00C96A6A">
            <w:pPr>
              <w:pStyle w:val="Sansinterligne"/>
              <w:rPr>
                <w:b/>
                <w:sz w:val="22"/>
                <w:szCs w:val="22"/>
              </w:rPr>
            </w:pPr>
            <w:r w:rsidRPr="0040635F">
              <w:rPr>
                <w:b/>
                <w:sz w:val="22"/>
                <w:szCs w:val="22"/>
              </w:rPr>
              <w:t>Sexe</w:t>
            </w:r>
          </w:p>
        </w:tc>
        <w:tc>
          <w:tcPr>
            <w:tcW w:w="1855" w:type="dxa"/>
            <w:shd w:val="clear" w:color="auto" w:fill="FFFFFF"/>
            <w:tcMar>
              <w:top w:w="120" w:type="dxa"/>
              <w:left w:w="75" w:type="dxa"/>
              <w:bottom w:w="120" w:type="dxa"/>
              <w:right w:w="75" w:type="dxa"/>
            </w:tcMar>
            <w:vAlign w:val="center"/>
            <w:hideMark/>
          </w:tcPr>
          <w:p w:rsidR="000E6EDD" w:rsidRPr="0040635F" w:rsidRDefault="000E6EDD" w:rsidP="00C96A6A">
            <w:pPr>
              <w:pStyle w:val="Sansinterligne"/>
              <w:rPr>
                <w:sz w:val="22"/>
                <w:szCs w:val="22"/>
              </w:rPr>
            </w:pPr>
            <w:r w:rsidRPr="0040635F">
              <w:rPr>
                <w:sz w:val="22"/>
                <w:szCs w:val="22"/>
              </w:rPr>
              <w:t>Femme</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w:t>
            </w:r>
          </w:p>
        </w:tc>
      </w:tr>
      <w:tr w:rsidR="000E6EDD" w:rsidRPr="00D919F5" w:rsidTr="00C96A6A">
        <w:trPr>
          <w:jc w:val="center"/>
        </w:trPr>
        <w:tc>
          <w:tcPr>
            <w:tcW w:w="2552" w:type="dxa"/>
            <w:vMerge/>
            <w:shd w:val="clear" w:color="auto" w:fill="FFFFFF"/>
          </w:tcPr>
          <w:p w:rsidR="000E6EDD" w:rsidRPr="0040635F" w:rsidRDefault="000E6EDD" w:rsidP="00C96A6A">
            <w:pPr>
              <w:pStyle w:val="Sansinterligne"/>
              <w:rPr>
                <w:sz w:val="22"/>
                <w:szCs w:val="22"/>
              </w:rPr>
            </w:pPr>
          </w:p>
        </w:tc>
        <w:tc>
          <w:tcPr>
            <w:tcW w:w="1855" w:type="dxa"/>
            <w:shd w:val="clear" w:color="auto" w:fill="FFFFFF"/>
            <w:tcMar>
              <w:top w:w="120" w:type="dxa"/>
              <w:left w:w="75" w:type="dxa"/>
              <w:bottom w:w="120" w:type="dxa"/>
              <w:right w:w="75" w:type="dxa"/>
            </w:tcMar>
            <w:vAlign w:val="center"/>
            <w:hideMark/>
          </w:tcPr>
          <w:p w:rsidR="000E6EDD" w:rsidRPr="0040635F" w:rsidRDefault="000E6EDD" w:rsidP="00C96A6A">
            <w:pPr>
              <w:pStyle w:val="Sansinterligne"/>
              <w:rPr>
                <w:sz w:val="22"/>
                <w:szCs w:val="22"/>
              </w:rPr>
            </w:pPr>
            <w:r w:rsidRPr="0040635F">
              <w:rPr>
                <w:sz w:val="22"/>
                <w:szCs w:val="22"/>
              </w:rPr>
              <w:t>Homme</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1,15*</w:t>
            </w:r>
          </w:p>
        </w:tc>
        <w:tc>
          <w:tcPr>
            <w:tcW w:w="0" w:type="auto"/>
            <w:shd w:val="clear" w:color="auto" w:fill="FFFFFF"/>
            <w:tcMar>
              <w:top w:w="120" w:type="dxa"/>
              <w:left w:w="75" w:type="dxa"/>
              <w:bottom w:w="120" w:type="dxa"/>
              <w:right w:w="75" w:type="dxa"/>
            </w:tcMar>
            <w:vAlign w:val="center"/>
            <w:hideMark/>
          </w:tcPr>
          <w:p w:rsidR="000E6EDD" w:rsidRPr="009142CD" w:rsidRDefault="000E6EDD" w:rsidP="00C96A6A">
            <w:pPr>
              <w:pStyle w:val="Sansinterligne"/>
              <w:jc w:val="center"/>
              <w:rPr>
                <w:sz w:val="22"/>
              </w:rPr>
            </w:pPr>
            <w:r w:rsidRPr="009142CD">
              <w:rPr>
                <w:sz w:val="22"/>
              </w:rPr>
              <w:t>1,27***</w:t>
            </w:r>
          </w:p>
        </w:tc>
      </w:tr>
      <w:tr w:rsidR="000E6EDD" w:rsidRPr="00D919F5" w:rsidTr="00C96A6A">
        <w:trPr>
          <w:jc w:val="center"/>
        </w:trPr>
        <w:tc>
          <w:tcPr>
            <w:tcW w:w="2552" w:type="dxa"/>
            <w:shd w:val="clear" w:color="auto" w:fill="FFFFFF"/>
          </w:tcPr>
          <w:p w:rsidR="000E6EDD" w:rsidRPr="0040635F" w:rsidRDefault="000E6EDD" w:rsidP="00C96A6A">
            <w:pPr>
              <w:pStyle w:val="Sansinterligne"/>
              <w:rPr>
                <w:sz w:val="22"/>
                <w:szCs w:val="22"/>
              </w:rPr>
            </w:pPr>
            <w:r w:rsidRPr="0040635F">
              <w:rPr>
                <w:b/>
                <w:bCs/>
                <w:sz w:val="22"/>
                <w:szCs w:val="22"/>
              </w:rPr>
              <w:t>Mineur non accompagné</w:t>
            </w:r>
          </w:p>
        </w:tc>
        <w:tc>
          <w:tcPr>
            <w:tcW w:w="1855" w:type="dxa"/>
            <w:shd w:val="clear" w:color="auto" w:fill="FFFFFF"/>
            <w:tcMar>
              <w:top w:w="120" w:type="dxa"/>
              <w:left w:w="75" w:type="dxa"/>
              <w:bottom w:w="120" w:type="dxa"/>
              <w:right w:w="75" w:type="dxa"/>
            </w:tcMar>
          </w:tcPr>
          <w:p w:rsidR="000E6EDD" w:rsidRPr="0040635F" w:rsidRDefault="000E6EDD" w:rsidP="00C96A6A">
            <w:pPr>
              <w:pStyle w:val="Sansinterligne"/>
              <w:rPr>
                <w:sz w:val="22"/>
                <w:szCs w:val="22"/>
              </w:rPr>
            </w:pPr>
            <w:r w:rsidRPr="0040635F">
              <w:rPr>
                <w:sz w:val="22"/>
                <w:szCs w:val="22"/>
              </w:rPr>
              <w:t>: oui</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1,55***</w:t>
            </w:r>
          </w:p>
        </w:tc>
        <w:tc>
          <w:tcPr>
            <w:tcW w:w="0" w:type="auto"/>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0,12***</w:t>
            </w:r>
          </w:p>
        </w:tc>
      </w:tr>
      <w:tr w:rsidR="000E6EDD" w:rsidRPr="00D919F5" w:rsidTr="00C96A6A">
        <w:trPr>
          <w:jc w:val="center"/>
        </w:trPr>
        <w:tc>
          <w:tcPr>
            <w:tcW w:w="2552" w:type="dxa"/>
            <w:vMerge w:val="restart"/>
            <w:shd w:val="clear" w:color="auto" w:fill="FFFFFF"/>
          </w:tcPr>
          <w:p w:rsidR="000E6EDD" w:rsidRPr="0040635F" w:rsidRDefault="000E6EDD" w:rsidP="00C96A6A">
            <w:pPr>
              <w:pStyle w:val="Sansinterligne"/>
              <w:rPr>
                <w:b/>
                <w:bCs/>
                <w:sz w:val="22"/>
                <w:szCs w:val="22"/>
              </w:rPr>
            </w:pPr>
            <w:r w:rsidRPr="0040635F">
              <w:rPr>
                <w:b/>
                <w:bCs/>
                <w:sz w:val="22"/>
                <w:szCs w:val="22"/>
              </w:rPr>
              <w:t>Type d’hébergement avant l’entrée en MEC</w:t>
            </w:r>
          </w:p>
        </w:tc>
        <w:tc>
          <w:tcPr>
            <w:tcW w:w="1855" w:type="dxa"/>
            <w:shd w:val="clear" w:color="auto" w:fill="FFFFFF"/>
            <w:tcMar>
              <w:top w:w="120" w:type="dxa"/>
              <w:left w:w="75" w:type="dxa"/>
              <w:bottom w:w="120" w:type="dxa"/>
              <w:right w:w="75" w:type="dxa"/>
            </w:tcMar>
            <w:vAlign w:val="center"/>
          </w:tcPr>
          <w:p w:rsidR="000E6EDD" w:rsidRPr="0040635F" w:rsidRDefault="000E6EDD" w:rsidP="00C96A6A">
            <w:pPr>
              <w:pStyle w:val="Sansinterligne"/>
              <w:rPr>
                <w:sz w:val="22"/>
                <w:szCs w:val="22"/>
              </w:rPr>
            </w:pPr>
            <w:r w:rsidRPr="0040635F">
              <w:rPr>
                <w:color w:val="333333"/>
                <w:sz w:val="22"/>
                <w:szCs w:val="22"/>
              </w:rPr>
              <w:t>Collectif</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w:t>
            </w:r>
          </w:p>
        </w:tc>
        <w:tc>
          <w:tcPr>
            <w:tcW w:w="0" w:type="auto"/>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w:t>
            </w:r>
          </w:p>
        </w:tc>
      </w:tr>
      <w:tr w:rsidR="000E6EDD" w:rsidRPr="00D919F5" w:rsidTr="00C96A6A">
        <w:trPr>
          <w:jc w:val="center"/>
        </w:trPr>
        <w:tc>
          <w:tcPr>
            <w:tcW w:w="2552" w:type="dxa"/>
            <w:vMerge/>
            <w:shd w:val="clear" w:color="auto" w:fill="FFFFFF"/>
          </w:tcPr>
          <w:p w:rsidR="000E6EDD" w:rsidRPr="0040635F" w:rsidRDefault="000E6EDD" w:rsidP="00C96A6A">
            <w:pPr>
              <w:pStyle w:val="Sansinterligne"/>
              <w:rPr>
                <w:b/>
                <w:bCs/>
                <w:sz w:val="22"/>
                <w:szCs w:val="22"/>
              </w:rPr>
            </w:pPr>
          </w:p>
        </w:tc>
        <w:tc>
          <w:tcPr>
            <w:tcW w:w="1855" w:type="dxa"/>
            <w:shd w:val="clear" w:color="auto" w:fill="FFFFFF"/>
            <w:tcMar>
              <w:top w:w="120" w:type="dxa"/>
              <w:left w:w="75" w:type="dxa"/>
              <w:bottom w:w="120" w:type="dxa"/>
              <w:right w:w="75" w:type="dxa"/>
            </w:tcMar>
            <w:vAlign w:val="center"/>
          </w:tcPr>
          <w:p w:rsidR="000E6EDD" w:rsidRPr="0040635F" w:rsidRDefault="000E6EDD" w:rsidP="00C96A6A">
            <w:pPr>
              <w:pStyle w:val="Sansinterligne"/>
              <w:rPr>
                <w:sz w:val="22"/>
                <w:szCs w:val="22"/>
              </w:rPr>
            </w:pPr>
            <w:r w:rsidRPr="0040635F">
              <w:rPr>
                <w:color w:val="333333"/>
                <w:sz w:val="22"/>
                <w:szCs w:val="22"/>
              </w:rPr>
              <w:t>Assistant familial</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0,74**</w:t>
            </w:r>
          </w:p>
        </w:tc>
        <w:tc>
          <w:tcPr>
            <w:tcW w:w="0" w:type="auto"/>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0,98</w:t>
            </w:r>
          </w:p>
        </w:tc>
      </w:tr>
      <w:tr w:rsidR="000E6EDD" w:rsidRPr="00D919F5" w:rsidTr="00C96A6A">
        <w:trPr>
          <w:jc w:val="center"/>
        </w:trPr>
        <w:tc>
          <w:tcPr>
            <w:tcW w:w="2552" w:type="dxa"/>
            <w:vMerge/>
            <w:shd w:val="clear" w:color="auto" w:fill="FFFFFF"/>
          </w:tcPr>
          <w:p w:rsidR="000E6EDD" w:rsidRPr="0040635F" w:rsidRDefault="000E6EDD" w:rsidP="00C96A6A">
            <w:pPr>
              <w:pStyle w:val="Sansinterligne"/>
              <w:rPr>
                <w:b/>
                <w:bCs/>
                <w:sz w:val="22"/>
                <w:szCs w:val="22"/>
              </w:rPr>
            </w:pPr>
          </w:p>
        </w:tc>
        <w:tc>
          <w:tcPr>
            <w:tcW w:w="1855" w:type="dxa"/>
            <w:shd w:val="clear" w:color="auto" w:fill="FFFFFF"/>
            <w:tcMar>
              <w:top w:w="120" w:type="dxa"/>
              <w:left w:w="75" w:type="dxa"/>
              <w:bottom w:w="120" w:type="dxa"/>
              <w:right w:w="75" w:type="dxa"/>
            </w:tcMar>
            <w:vAlign w:val="center"/>
          </w:tcPr>
          <w:p w:rsidR="000E6EDD" w:rsidRPr="0040635F" w:rsidRDefault="000E6EDD" w:rsidP="00C96A6A">
            <w:pPr>
              <w:pStyle w:val="Sansinterligne"/>
              <w:rPr>
                <w:sz w:val="22"/>
                <w:szCs w:val="22"/>
              </w:rPr>
            </w:pPr>
            <w:r w:rsidRPr="0040635F">
              <w:rPr>
                <w:color w:val="333333"/>
                <w:sz w:val="22"/>
                <w:szCs w:val="22"/>
              </w:rPr>
              <w:t>Famille</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0,86*</w:t>
            </w:r>
          </w:p>
        </w:tc>
        <w:tc>
          <w:tcPr>
            <w:tcW w:w="0" w:type="auto"/>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2,07***</w:t>
            </w:r>
          </w:p>
        </w:tc>
      </w:tr>
      <w:tr w:rsidR="000E6EDD" w:rsidRPr="00D919F5" w:rsidTr="00C96A6A">
        <w:trPr>
          <w:jc w:val="center"/>
        </w:trPr>
        <w:tc>
          <w:tcPr>
            <w:tcW w:w="2552" w:type="dxa"/>
            <w:vMerge/>
            <w:shd w:val="clear" w:color="auto" w:fill="FFFFFF"/>
          </w:tcPr>
          <w:p w:rsidR="000E6EDD" w:rsidRPr="0040635F" w:rsidRDefault="000E6EDD" w:rsidP="00C96A6A">
            <w:pPr>
              <w:pStyle w:val="Sansinterligne"/>
              <w:rPr>
                <w:b/>
                <w:bCs/>
                <w:sz w:val="22"/>
                <w:szCs w:val="22"/>
              </w:rPr>
            </w:pPr>
          </w:p>
        </w:tc>
        <w:tc>
          <w:tcPr>
            <w:tcW w:w="1855" w:type="dxa"/>
            <w:shd w:val="clear" w:color="auto" w:fill="FFFFFF"/>
            <w:tcMar>
              <w:top w:w="120" w:type="dxa"/>
              <w:left w:w="75" w:type="dxa"/>
              <w:bottom w:w="120" w:type="dxa"/>
              <w:right w:w="75" w:type="dxa"/>
            </w:tcMar>
            <w:vAlign w:val="center"/>
          </w:tcPr>
          <w:p w:rsidR="000E6EDD" w:rsidRPr="0040635F" w:rsidRDefault="000E6EDD" w:rsidP="00C96A6A">
            <w:pPr>
              <w:pStyle w:val="Sansinterligne"/>
              <w:rPr>
                <w:sz w:val="22"/>
                <w:szCs w:val="22"/>
              </w:rPr>
            </w:pPr>
            <w:r w:rsidRPr="0040635F">
              <w:rPr>
                <w:color w:val="333333"/>
                <w:sz w:val="22"/>
                <w:szCs w:val="22"/>
              </w:rPr>
              <w:t>Logt accompagné</w:t>
            </w:r>
          </w:p>
        </w:tc>
        <w:tc>
          <w:tcPr>
            <w:tcW w:w="0" w:type="auto"/>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2,59***</w:t>
            </w:r>
          </w:p>
        </w:tc>
        <w:tc>
          <w:tcPr>
            <w:tcW w:w="0" w:type="auto"/>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1,45</w:t>
            </w:r>
          </w:p>
        </w:tc>
      </w:tr>
      <w:tr w:rsidR="000E6EDD" w:rsidRPr="00D919F5" w:rsidTr="00C96A6A">
        <w:trPr>
          <w:jc w:val="center"/>
        </w:trPr>
        <w:tc>
          <w:tcPr>
            <w:tcW w:w="2552" w:type="dxa"/>
            <w:vMerge/>
            <w:tcBorders>
              <w:bottom w:val="single" w:sz="18" w:space="0" w:color="auto"/>
            </w:tcBorders>
            <w:shd w:val="clear" w:color="auto" w:fill="FFFFFF"/>
          </w:tcPr>
          <w:p w:rsidR="000E6EDD" w:rsidRPr="0040635F" w:rsidRDefault="000E6EDD" w:rsidP="00C96A6A">
            <w:pPr>
              <w:pStyle w:val="Sansinterligne"/>
              <w:rPr>
                <w:b/>
                <w:bCs/>
                <w:sz w:val="22"/>
                <w:szCs w:val="22"/>
              </w:rPr>
            </w:pPr>
          </w:p>
        </w:tc>
        <w:tc>
          <w:tcPr>
            <w:tcW w:w="1855" w:type="dxa"/>
            <w:tcBorders>
              <w:bottom w:val="single" w:sz="18" w:space="0" w:color="auto"/>
            </w:tcBorders>
            <w:shd w:val="clear" w:color="auto" w:fill="FFFFFF"/>
            <w:tcMar>
              <w:top w:w="120" w:type="dxa"/>
              <w:left w:w="75" w:type="dxa"/>
              <w:bottom w:w="120" w:type="dxa"/>
              <w:right w:w="75" w:type="dxa"/>
            </w:tcMar>
            <w:vAlign w:val="center"/>
          </w:tcPr>
          <w:p w:rsidR="000E6EDD" w:rsidRPr="0040635F" w:rsidRDefault="000E6EDD" w:rsidP="00C96A6A">
            <w:pPr>
              <w:pStyle w:val="Sansinterligne"/>
              <w:rPr>
                <w:sz w:val="22"/>
                <w:szCs w:val="22"/>
              </w:rPr>
            </w:pPr>
            <w:r w:rsidRPr="0040635F">
              <w:rPr>
                <w:color w:val="333333"/>
                <w:sz w:val="22"/>
                <w:szCs w:val="22"/>
              </w:rPr>
              <w:t>Logt hors</w:t>
            </w:r>
          </w:p>
        </w:tc>
        <w:tc>
          <w:tcPr>
            <w:tcW w:w="0" w:type="auto"/>
            <w:tcBorders>
              <w:bottom w:val="single" w:sz="18" w:space="0" w:color="auto"/>
            </w:tcBorders>
            <w:shd w:val="clear" w:color="auto" w:fill="FFFFFF"/>
            <w:vAlign w:val="center"/>
          </w:tcPr>
          <w:p w:rsidR="000E6EDD" w:rsidRPr="0040635F" w:rsidRDefault="000E6EDD" w:rsidP="00C96A6A">
            <w:pPr>
              <w:pStyle w:val="Sansinterligne"/>
              <w:jc w:val="center"/>
              <w:rPr>
                <w:sz w:val="22"/>
                <w:szCs w:val="22"/>
              </w:rPr>
            </w:pPr>
            <w:r w:rsidRPr="0040635F">
              <w:rPr>
                <w:sz w:val="22"/>
                <w:szCs w:val="22"/>
              </w:rPr>
              <w:t>ref</w:t>
            </w:r>
          </w:p>
        </w:tc>
        <w:tc>
          <w:tcPr>
            <w:tcW w:w="0" w:type="auto"/>
            <w:tcBorders>
              <w:bottom w:val="single" w:sz="18" w:space="0" w:color="auto"/>
            </w:tcBorders>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1,00</w:t>
            </w:r>
          </w:p>
        </w:tc>
        <w:tc>
          <w:tcPr>
            <w:tcW w:w="0" w:type="auto"/>
            <w:tcBorders>
              <w:bottom w:val="single" w:sz="18" w:space="0" w:color="auto"/>
            </w:tcBorders>
            <w:shd w:val="clear" w:color="auto" w:fill="FFFFFF"/>
            <w:tcMar>
              <w:top w:w="120" w:type="dxa"/>
              <w:left w:w="75" w:type="dxa"/>
              <w:bottom w:w="120" w:type="dxa"/>
              <w:right w:w="75" w:type="dxa"/>
            </w:tcMar>
            <w:vAlign w:val="center"/>
          </w:tcPr>
          <w:p w:rsidR="000E6EDD" w:rsidRPr="009142CD" w:rsidRDefault="000E6EDD" w:rsidP="00C96A6A">
            <w:pPr>
              <w:pStyle w:val="Sansinterligne"/>
              <w:jc w:val="center"/>
              <w:rPr>
                <w:sz w:val="22"/>
              </w:rPr>
            </w:pPr>
            <w:r w:rsidRPr="009142CD">
              <w:rPr>
                <w:sz w:val="22"/>
              </w:rPr>
              <w:t>1,06</w:t>
            </w:r>
          </w:p>
        </w:tc>
      </w:tr>
      <w:tr w:rsidR="000E6EDD" w:rsidRPr="0040635F" w:rsidTr="00C96A6A">
        <w:trPr>
          <w:trHeight w:val="581"/>
          <w:jc w:val="center"/>
        </w:trPr>
        <w:tc>
          <w:tcPr>
            <w:tcW w:w="0" w:type="auto"/>
            <w:gridSpan w:val="5"/>
            <w:tcBorders>
              <w:top w:val="single" w:sz="18" w:space="0" w:color="auto"/>
            </w:tcBorders>
            <w:shd w:val="clear" w:color="auto" w:fill="FFFFFF"/>
          </w:tcPr>
          <w:p w:rsidR="000E6EDD" w:rsidRPr="0040635F" w:rsidRDefault="000E6EDD" w:rsidP="00C96A6A">
            <w:pPr>
              <w:pStyle w:val="Sansinterligne"/>
              <w:rPr>
                <w:sz w:val="22"/>
                <w:szCs w:val="22"/>
              </w:rPr>
            </w:pPr>
            <w:r w:rsidRPr="0040635F">
              <w:rPr>
                <w:sz w:val="22"/>
                <w:szCs w:val="22"/>
              </w:rPr>
              <w:t>*p&lt;0.05; **p&lt;0.01; ***p&lt;0.001</w:t>
            </w:r>
          </w:p>
          <w:p w:rsidR="000E6EDD" w:rsidRPr="0040635F" w:rsidRDefault="000E6EDD" w:rsidP="00C96A6A">
            <w:pPr>
              <w:pStyle w:val="Sansinterligne"/>
              <w:rPr>
                <w:sz w:val="22"/>
                <w:szCs w:val="22"/>
              </w:rPr>
            </w:pPr>
            <w:r w:rsidRPr="0040635F">
              <w:rPr>
                <w:sz w:val="22"/>
                <w:szCs w:val="22"/>
              </w:rPr>
              <w:t>OR = rapport de cotes</w:t>
            </w:r>
          </w:p>
        </w:tc>
      </w:tr>
    </w:tbl>
    <w:p w:rsidR="000E6EDD" w:rsidRPr="00800F3F" w:rsidRDefault="000E6EDD" w:rsidP="000E6EDD">
      <w:pPr>
        <w:jc w:val="right"/>
        <w:rPr>
          <w:i/>
          <w:sz w:val="20"/>
        </w:rPr>
      </w:pPr>
      <w:r w:rsidRPr="00800F3F">
        <w:rPr>
          <w:i/>
          <w:sz w:val="20"/>
        </w:rPr>
        <w:t>Source : Enquête ES-PE 2017, DREES.</w:t>
      </w:r>
    </w:p>
    <w:p w:rsidR="000E6EDD" w:rsidRPr="00800F3F" w:rsidRDefault="000E6EDD" w:rsidP="000E6EDD">
      <w:pPr>
        <w:jc w:val="right"/>
        <w:rPr>
          <w:i/>
          <w:sz w:val="20"/>
        </w:rPr>
      </w:pPr>
      <w:r w:rsidRPr="00800F3F">
        <w:rPr>
          <w:i/>
          <w:sz w:val="20"/>
        </w:rPr>
        <w:t>Champ : Parmi les</w:t>
      </w:r>
      <w:r>
        <w:rPr>
          <w:i/>
          <w:sz w:val="20"/>
        </w:rPr>
        <w:t xml:space="preserve"> 15 162</w:t>
      </w:r>
      <w:r w:rsidRPr="00800F3F">
        <w:rPr>
          <w:i/>
          <w:sz w:val="20"/>
        </w:rPr>
        <w:t xml:space="preserve"> enfants présents au 15/12/2017</w:t>
      </w:r>
      <w:r>
        <w:rPr>
          <w:i/>
          <w:sz w:val="20"/>
        </w:rPr>
        <w:t xml:space="preserve"> sans réponses incomplètes à l’enquête, données pondérées.</w:t>
      </w:r>
    </w:p>
    <w:p w:rsidR="000E6EDD" w:rsidRPr="00992FA3" w:rsidRDefault="000E6EDD" w:rsidP="000E6EDD">
      <w:pPr>
        <w:spacing w:line="360" w:lineRule="auto"/>
        <w:jc w:val="right"/>
        <w:rPr>
          <w:color w:val="767171" w:themeColor="background2" w:themeShade="80"/>
        </w:rPr>
      </w:pPr>
      <w:r w:rsidRPr="00800F3F">
        <w:rPr>
          <w:i/>
          <w:sz w:val="20"/>
        </w:rPr>
        <w:t>Lecture :</w:t>
      </w:r>
      <w:r w:rsidRPr="00EC6DEC">
        <w:rPr>
          <w:i/>
          <w:sz w:val="20"/>
        </w:rPr>
        <w:t>.</w:t>
      </w:r>
    </w:p>
    <w:p w:rsidR="000E6EDD" w:rsidRDefault="000E6EDD" w:rsidP="000E6EDD">
      <w:pPr>
        <w:spacing w:line="360" w:lineRule="auto"/>
        <w:jc w:val="both"/>
      </w:pPr>
    </w:p>
    <w:p w:rsidR="000E6EDD" w:rsidRDefault="000E6EDD">
      <w:bookmarkStart w:id="1" w:name="_GoBack"/>
      <w:bookmarkEnd w:id="1"/>
    </w:p>
    <w:sectPr w:rsidR="000E6EDD" w:rsidSect="00A174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35D7E"/>
    <w:multiLevelType w:val="hybridMultilevel"/>
    <w:tmpl w:val="4FB09A02"/>
    <w:lvl w:ilvl="0" w:tplc="CD3E4A8E">
      <w:start w:val="1"/>
      <w:numFmt w:val="decimal"/>
      <w:lvlText w:val="%1)"/>
      <w:lvlJc w:val="left"/>
      <w:pPr>
        <w:ind w:left="2487" w:hanging="360"/>
      </w:pPr>
      <w:rPr>
        <w:rFonts w:hint="default"/>
      </w:rPr>
    </w:lvl>
    <w:lvl w:ilvl="1" w:tplc="040C0019">
      <w:start w:val="1"/>
      <w:numFmt w:val="lowerLetter"/>
      <w:lvlText w:val="%2."/>
      <w:lvlJc w:val="left"/>
      <w:pPr>
        <w:ind w:left="3207" w:hanging="360"/>
      </w:pPr>
    </w:lvl>
    <w:lvl w:ilvl="2" w:tplc="040C001B">
      <w:start w:val="1"/>
      <w:numFmt w:val="lowerRoman"/>
      <w:lvlText w:val="%3."/>
      <w:lvlJc w:val="right"/>
      <w:pPr>
        <w:ind w:left="3927" w:hanging="180"/>
      </w:pPr>
    </w:lvl>
    <w:lvl w:ilvl="3" w:tplc="AD5C254A">
      <w:start w:val="1"/>
      <w:numFmt w:val="decimal"/>
      <w:lvlText w:val="%4)"/>
      <w:lvlJc w:val="left"/>
      <w:pPr>
        <w:ind w:left="4647" w:hanging="360"/>
      </w:pPr>
      <w:rPr>
        <w:rFonts w:ascii="Times New Roman" w:eastAsia="Times New Roman" w:hAnsi="Times New Roman" w:cs="Times New Roman"/>
      </w:r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 w15:restartNumberingAfterBreak="0">
    <w:nsid w:val="70E97D4F"/>
    <w:multiLevelType w:val="hybridMultilevel"/>
    <w:tmpl w:val="0EB0B0A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DD"/>
    <w:rsid w:val="000E6EDD"/>
    <w:rsid w:val="00A174B9"/>
    <w:rsid w:val="00BF7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0F79C02"/>
  <w14:defaultImageDpi w14:val="32767"/>
  <w15:chartTrackingRefBased/>
  <w15:docId w15:val="{2FD302BA-2AD2-A446-949D-EE27025A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6EDD"/>
    <w:rPr>
      <w:rFonts w:ascii="Times New Roman" w:eastAsia="Times New Roman" w:hAnsi="Times New Roman" w:cs="Times New Roman"/>
      <w:lang w:eastAsia="fr-FR"/>
    </w:rPr>
  </w:style>
  <w:style w:type="paragraph" w:styleId="Titre3">
    <w:name w:val="heading 3"/>
    <w:basedOn w:val="Normal"/>
    <w:next w:val="Normal"/>
    <w:link w:val="Titre3Car"/>
    <w:uiPriority w:val="9"/>
    <w:unhideWhenUsed/>
    <w:qFormat/>
    <w:rsid w:val="000E6ED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E6EDD"/>
    <w:rPr>
      <w:rFonts w:asciiTheme="majorHAnsi" w:eastAsiaTheme="majorEastAsia" w:hAnsiTheme="majorHAnsi" w:cstheme="majorBidi"/>
      <w:color w:val="1F3763" w:themeColor="accent1" w:themeShade="7F"/>
      <w:lang w:eastAsia="fr-FR"/>
    </w:rPr>
  </w:style>
  <w:style w:type="paragraph" w:styleId="Paragraphedeliste">
    <w:name w:val="List Paragraph"/>
    <w:basedOn w:val="Normal"/>
    <w:uiPriority w:val="34"/>
    <w:qFormat/>
    <w:rsid w:val="000E6EDD"/>
    <w:pPr>
      <w:ind w:left="720"/>
      <w:contextualSpacing/>
    </w:pPr>
  </w:style>
  <w:style w:type="paragraph" w:styleId="Sansinterligne">
    <w:name w:val="No Spacing"/>
    <w:uiPriority w:val="1"/>
    <w:qFormat/>
    <w:rsid w:val="000E6EDD"/>
    <w:rPr>
      <w:rFonts w:ascii="Times New Roman" w:eastAsia="Times New Roman" w:hAnsi="Times New Roman" w:cs="Times New Roman"/>
      <w:lang w:eastAsia="fr-FR"/>
    </w:rPr>
  </w:style>
  <w:style w:type="paragraph" w:styleId="Lgende">
    <w:name w:val="caption"/>
    <w:basedOn w:val="Normal"/>
    <w:next w:val="Normal"/>
    <w:uiPriority w:val="35"/>
    <w:unhideWhenUsed/>
    <w:qFormat/>
    <w:rsid w:val="000E6ED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3119</Characters>
  <Application>Microsoft Office Word</Application>
  <DocSecurity>0</DocSecurity>
  <Lines>25</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elemaire16@hotmail.fr</dc:creator>
  <cp:keywords/>
  <dc:description/>
  <cp:lastModifiedBy>elemaire16@hotmail.fr</cp:lastModifiedBy>
  <cp:revision>1</cp:revision>
  <dcterms:created xsi:type="dcterms:W3CDTF">2022-06-14T14:28:00Z</dcterms:created>
  <dcterms:modified xsi:type="dcterms:W3CDTF">2022-06-14T14:29:00Z</dcterms:modified>
</cp:coreProperties>
</file>