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1D893B" w14:textId="77777777" w:rsidR="008B4792" w:rsidRDefault="008B4792">
      <w:pPr>
        <w:autoSpaceDE w:val="0"/>
        <w:autoSpaceDN w:val="0"/>
        <w:spacing w:after="32" w:line="220" w:lineRule="exact"/>
      </w:pPr>
    </w:p>
    <w:p w14:paraId="38267F6A" w14:textId="77777777" w:rsidR="008B4792" w:rsidRDefault="00000000">
      <w:pPr>
        <w:tabs>
          <w:tab w:val="left" w:pos="464"/>
          <w:tab w:val="left" w:pos="532"/>
        </w:tabs>
        <w:autoSpaceDE w:val="0"/>
        <w:autoSpaceDN w:val="0"/>
        <w:spacing w:after="180" w:line="264" w:lineRule="auto"/>
        <w:ind w:left="16" w:right="432"/>
      </w:pPr>
      <w:r>
        <w:tab/>
      </w:r>
      <w:r>
        <w:tab/>
      </w:r>
      <w:r>
        <w:rPr>
          <w:rFonts w:ascii="Open Sans" w:eastAsia="Open Sans" w:hAnsi="Open Sans"/>
          <w:b/>
          <w:color w:val="7DD957"/>
          <w:sz w:val="44"/>
        </w:rPr>
        <w:t xml:space="preserve">Tema 1.  Specificità per la valutazione e </w:t>
      </w:r>
      <w:r>
        <w:tab/>
      </w:r>
      <w:r>
        <w:rPr>
          <w:rFonts w:ascii="Open Sans" w:eastAsia="Open Sans" w:hAnsi="Open Sans"/>
          <w:b/>
          <w:color w:val="7DD957"/>
          <w:sz w:val="44"/>
        </w:rPr>
        <w:t xml:space="preserve">diagnosi negli adulti in ambito sanitario </w:t>
      </w:r>
      <w:r>
        <w:rPr>
          <w:rFonts w:ascii="Open Sans" w:eastAsia="Open Sans" w:hAnsi="Open Sans"/>
          <w:color w:val="000000"/>
        </w:rPr>
        <w:t>Ogni diagnosi e valutazione psicologica deve essere inquadrata in:</w:t>
      </w: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300"/>
        <w:gridCol w:w="10480"/>
      </w:tblGrid>
      <w:tr w:rsidR="008B4792" w14:paraId="48C675A2" w14:textId="77777777">
        <w:trPr>
          <w:trHeight w:hRule="exact" w:val="974"/>
        </w:trPr>
        <w:tc>
          <w:tcPr>
            <w:tcW w:w="300" w:type="dxa"/>
            <w:tcMar>
              <w:left w:w="0" w:type="dxa"/>
              <w:right w:w="0" w:type="dxa"/>
            </w:tcMar>
          </w:tcPr>
          <w:p w14:paraId="37F2DD66" w14:textId="77777777" w:rsidR="008B4792" w:rsidRDefault="00000000">
            <w:pPr>
              <w:autoSpaceDE w:val="0"/>
              <w:autoSpaceDN w:val="0"/>
              <w:spacing w:before="17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2B56664" wp14:editId="342610FA">
                  <wp:extent cx="76200" cy="76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46E5D" w14:textId="77777777" w:rsidR="008B4792" w:rsidRDefault="00000000">
            <w:pPr>
              <w:autoSpaceDE w:val="0"/>
              <w:autoSpaceDN w:val="0"/>
              <w:spacing w:before="16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3660A08" wp14:editId="6C9BAC1F">
                  <wp:extent cx="76200" cy="889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80" w:type="dxa"/>
            <w:tcMar>
              <w:left w:w="0" w:type="dxa"/>
              <w:right w:w="0" w:type="dxa"/>
            </w:tcMar>
          </w:tcPr>
          <w:p w14:paraId="3FAADD99" w14:textId="77777777" w:rsidR="008B4792" w:rsidRDefault="00000000">
            <w:pPr>
              <w:autoSpaceDE w:val="0"/>
              <w:autoSpaceDN w:val="0"/>
              <w:spacing w:before="60" w:after="0" w:line="240" w:lineRule="auto"/>
              <w:ind w:left="96"/>
            </w:pPr>
            <w:r>
              <w:rPr>
                <w:rFonts w:ascii="Open Sans" w:eastAsia="Open Sans" w:hAnsi="Open Sans"/>
                <w:color w:val="000000"/>
              </w:rPr>
              <w:t>Dimensioni spazio-temporali e interattive concrete.</w:t>
            </w:r>
          </w:p>
          <w:p w14:paraId="1903FB25" w14:textId="77777777" w:rsidR="008B4792" w:rsidRDefault="00000000">
            <w:pPr>
              <w:autoSpaceDE w:val="0"/>
              <w:autoSpaceDN w:val="0"/>
              <w:spacing w:after="0" w:line="245" w:lineRule="auto"/>
              <w:ind w:left="96"/>
            </w:pPr>
            <w:r>
              <w:rPr>
                <w:rFonts w:ascii="Open Sans" w:eastAsia="Open Sans" w:hAnsi="Open Sans"/>
                <w:color w:val="000000"/>
              </w:rPr>
              <w:t xml:space="preserve">Perseguire obiettivi specifici concettualizzati dal valutatore: questa concettualizzazione diventa un consenso tra terapeuta e paziente. </w:t>
            </w:r>
          </w:p>
        </w:tc>
      </w:tr>
    </w:tbl>
    <w:p w14:paraId="009BB4BA" w14:textId="77777777" w:rsidR="008B4792" w:rsidRDefault="00000000">
      <w:pPr>
        <w:autoSpaceDE w:val="0"/>
        <w:autoSpaceDN w:val="0"/>
        <w:spacing w:before="150" w:after="0" w:line="245" w:lineRule="auto"/>
        <w:ind w:left="16"/>
      </w:pPr>
      <w:r>
        <w:rPr>
          <w:rFonts w:ascii="Open Sans" w:eastAsia="Open Sans" w:hAnsi="Open Sans"/>
          <w:color w:val="000000"/>
        </w:rPr>
        <w:t>Altri tipi di difficoltà dovranno essere rivalutate. Se i nuovi problemi non sono correlati, dobbiamo fare un'altra valutazione.</w:t>
      </w:r>
    </w:p>
    <w:p w14:paraId="7070F41F" w14:textId="77777777" w:rsidR="008B4792" w:rsidRDefault="00000000">
      <w:pPr>
        <w:autoSpaceDE w:val="0"/>
        <w:autoSpaceDN w:val="0"/>
        <w:spacing w:before="240" w:after="0" w:line="245" w:lineRule="auto"/>
        <w:ind w:left="16"/>
      </w:pPr>
      <w:r>
        <w:rPr>
          <w:rFonts w:ascii="Open Sans" w:eastAsia="Open Sans" w:hAnsi="Open Sans"/>
          <w:color w:val="000000"/>
        </w:rPr>
        <w:t xml:space="preserve">Le origini di un problema sono importanti, ma noi possiamo lavorare solo nel momento presente. </w:t>
      </w:r>
    </w:p>
    <w:p w14:paraId="38523E14" w14:textId="77777777" w:rsidR="008B4792" w:rsidRDefault="00000000">
      <w:pPr>
        <w:autoSpaceDE w:val="0"/>
        <w:autoSpaceDN w:val="0"/>
        <w:spacing w:before="240" w:after="0" w:line="240" w:lineRule="auto"/>
        <w:ind w:left="16"/>
      </w:pPr>
      <w:r>
        <w:rPr>
          <w:rFonts w:ascii="Open Sans" w:eastAsia="Open Sans" w:hAnsi="Open Sans"/>
          <w:color w:val="000000"/>
        </w:rPr>
        <w:t>¿</w:t>
      </w:r>
      <w:r>
        <w:rPr>
          <w:rFonts w:ascii="Open Sans" w:eastAsia="Open Sans" w:hAnsi="Open Sans"/>
          <w:color w:val="7DD957"/>
        </w:rPr>
        <w:t xml:space="preserve">Cosa è VALUTARE </w:t>
      </w:r>
      <w:r>
        <w:rPr>
          <w:rFonts w:ascii="Open Sans" w:eastAsia="Open Sans" w:hAnsi="Open Sans"/>
          <w:color w:val="000000"/>
        </w:rPr>
        <w:t>? Valutare e misurare.</w:t>
      </w:r>
    </w:p>
    <w:p w14:paraId="46244B2C" w14:textId="77777777" w:rsidR="008B4792" w:rsidRDefault="00000000">
      <w:pPr>
        <w:autoSpaceDE w:val="0"/>
        <w:autoSpaceDN w:val="0"/>
        <w:spacing w:before="240" w:after="0" w:line="305" w:lineRule="auto"/>
        <w:ind w:left="16"/>
      </w:pPr>
      <w:r>
        <w:rPr>
          <w:rFonts w:ascii="Open Sans" w:eastAsia="Open Sans" w:hAnsi="Open Sans"/>
          <w:color w:val="000000"/>
        </w:rPr>
        <w:t>Valutare ha uno scopo, un proposito, ci porta a qualcosa, che è comprendere e conoscere come funziona qualcosa. L'importante di valutare è poter prevedere e conoscere come si comporterebbe qualcuno in una situazione. La valutazione è un processo composto da fasi successive e interrelate.</w:t>
      </w:r>
    </w:p>
    <w:p w14:paraId="7964C2E1" w14:textId="77777777" w:rsidR="008B4792" w:rsidRDefault="00000000">
      <w:pPr>
        <w:autoSpaceDE w:val="0"/>
        <w:autoSpaceDN w:val="0"/>
        <w:spacing w:before="776" w:after="266" w:line="286" w:lineRule="auto"/>
        <w:ind w:left="16"/>
      </w:pPr>
      <w:r>
        <w:rPr>
          <w:rFonts w:ascii="Open Sans" w:eastAsia="Open Sans" w:hAnsi="Open Sans"/>
          <w:b/>
          <w:color w:val="C1FF72"/>
          <w:sz w:val="28"/>
        </w:rPr>
        <w:t xml:space="preserve">Valutazione e diagnosi come parte dell'intervento in Psicologia Generale Sanitaria </w:t>
      </w:r>
      <w:r>
        <w:br/>
      </w:r>
      <w:r>
        <w:rPr>
          <w:rFonts w:ascii="Open Sans" w:eastAsia="Open Sans" w:hAnsi="Open Sans"/>
          <w:color w:val="000000"/>
        </w:rPr>
        <w:t xml:space="preserve">Valutazione e diagnosi non sono la stessa cosa!  </w:t>
      </w:r>
    </w:p>
    <w:tbl>
      <w:tblPr>
        <w:tblW w:w="0" w:type="auto"/>
        <w:tblInd w:w="30" w:type="dxa"/>
        <w:tblLayout w:type="fixed"/>
        <w:tblLook w:val="04A0" w:firstRow="1" w:lastRow="0" w:firstColumn="1" w:lastColumn="0" w:noHBand="0" w:noVBand="1"/>
      </w:tblPr>
      <w:tblGrid>
        <w:gridCol w:w="5386"/>
        <w:gridCol w:w="5384"/>
      </w:tblGrid>
      <w:tr w:rsidR="008B4792" w14:paraId="1C0CE876" w14:textId="77777777">
        <w:trPr>
          <w:trHeight w:hRule="exact" w:val="688"/>
        </w:trPr>
        <w:tc>
          <w:tcPr>
            <w:tcW w:w="5386" w:type="dxa"/>
            <w:tcBorders>
              <w:top w:val="single" w:sz="12" w:space="0" w:color="DADADA"/>
              <w:left w:val="single" w:sz="12" w:space="0" w:color="DADADA"/>
              <w:bottom w:val="single" w:sz="12" w:space="0" w:color="DADADA"/>
              <w:right w:val="single" w:sz="12" w:space="0" w:color="DADADA"/>
            </w:tcBorders>
            <w:tcMar>
              <w:left w:w="0" w:type="dxa"/>
              <w:right w:w="0" w:type="dxa"/>
            </w:tcMar>
          </w:tcPr>
          <w:p w14:paraId="29952129" w14:textId="77777777" w:rsidR="008B4792" w:rsidRDefault="00000000">
            <w:pPr>
              <w:autoSpaceDE w:val="0"/>
              <w:autoSpaceDN w:val="0"/>
              <w:spacing w:before="152" w:after="0" w:line="240" w:lineRule="auto"/>
              <w:jc w:val="center"/>
            </w:pPr>
            <w:r>
              <w:rPr>
                <w:rFonts w:ascii="Open Sans" w:eastAsia="Open Sans" w:hAnsi="Open Sans"/>
                <w:color w:val="000000"/>
              </w:rPr>
              <w:t>Valutazione</w:t>
            </w:r>
          </w:p>
        </w:tc>
        <w:tc>
          <w:tcPr>
            <w:tcW w:w="5384" w:type="dxa"/>
            <w:tcBorders>
              <w:top w:val="single" w:sz="12" w:space="0" w:color="DADADA"/>
              <w:left w:val="single" w:sz="12" w:space="0" w:color="DADADA"/>
              <w:bottom w:val="single" w:sz="12" w:space="0" w:color="DADADA"/>
              <w:right w:val="single" w:sz="12" w:space="0" w:color="DADADA"/>
            </w:tcBorders>
            <w:tcMar>
              <w:left w:w="0" w:type="dxa"/>
              <w:right w:w="0" w:type="dxa"/>
            </w:tcMar>
          </w:tcPr>
          <w:p w14:paraId="5925D944" w14:textId="77777777" w:rsidR="008B4792" w:rsidRDefault="00000000">
            <w:pPr>
              <w:autoSpaceDE w:val="0"/>
              <w:autoSpaceDN w:val="0"/>
              <w:spacing w:before="152" w:after="0" w:line="240" w:lineRule="auto"/>
              <w:jc w:val="center"/>
            </w:pPr>
            <w:r>
              <w:rPr>
                <w:rFonts w:ascii="Open Sans" w:eastAsia="Open Sans" w:hAnsi="Open Sans"/>
                <w:color w:val="000000"/>
              </w:rPr>
              <w:t>Diagnosi</w:t>
            </w:r>
          </w:p>
        </w:tc>
      </w:tr>
      <w:tr w:rsidR="008B4792" w14:paraId="2C74168E" w14:textId="77777777">
        <w:trPr>
          <w:trHeight w:hRule="exact" w:val="3632"/>
        </w:trPr>
        <w:tc>
          <w:tcPr>
            <w:tcW w:w="5386" w:type="dxa"/>
            <w:tcBorders>
              <w:top w:val="single" w:sz="12" w:space="0" w:color="DADADA"/>
              <w:left w:val="single" w:sz="12" w:space="0" w:color="DADADA"/>
              <w:bottom w:val="single" w:sz="12" w:space="0" w:color="DADADA"/>
              <w:right w:val="single" w:sz="12" w:space="0" w:color="DADADA"/>
            </w:tcBorders>
            <w:tcMar>
              <w:left w:w="0" w:type="dxa"/>
              <w:right w:w="0" w:type="dxa"/>
            </w:tcMar>
          </w:tcPr>
          <w:p w14:paraId="363EB9C7" w14:textId="77777777" w:rsidR="008B4792" w:rsidRDefault="00000000">
            <w:pPr>
              <w:tabs>
                <w:tab w:val="left" w:pos="690"/>
                <w:tab w:val="left" w:pos="1244"/>
                <w:tab w:val="left" w:pos="3032"/>
                <w:tab w:val="left" w:pos="4294"/>
                <w:tab w:val="left" w:pos="4756"/>
              </w:tabs>
              <w:autoSpaceDE w:val="0"/>
              <w:autoSpaceDN w:val="0"/>
              <w:spacing w:before="154" w:after="0" w:line="245" w:lineRule="auto"/>
              <w:ind w:left="180"/>
            </w:pPr>
            <w:r>
              <w:rPr>
                <w:rFonts w:ascii="Open Sans" w:eastAsia="Open Sans" w:hAnsi="Open Sans"/>
                <w:color w:val="000000"/>
              </w:rPr>
              <w:t xml:space="preserve">È </w:t>
            </w:r>
            <w:r>
              <w:tab/>
            </w:r>
            <w:r>
              <w:rPr>
                <w:rFonts w:ascii="Open Sans" w:eastAsia="Open Sans" w:hAnsi="Open Sans"/>
                <w:color w:val="000000"/>
              </w:rPr>
              <w:t>un</w:t>
            </w:r>
            <w:r>
              <w:tab/>
            </w:r>
            <w:r>
              <w:rPr>
                <w:rFonts w:ascii="Open Sans" w:eastAsia="Open Sans" w:hAnsi="Open Sans"/>
                <w:color w:val="000000"/>
              </w:rPr>
              <w:t xml:space="preserve">è </w:t>
            </w:r>
            <w:r>
              <w:tab/>
            </w:r>
            <w:r>
              <w:rPr>
                <w:rFonts w:ascii="Open Sans" w:eastAsia="Open Sans" w:hAnsi="Open Sans"/>
                <w:color w:val="000000"/>
              </w:rPr>
              <w:t xml:space="preserve">un </w:t>
            </w:r>
            <w:r>
              <w:tab/>
            </w:r>
            <w:r>
              <w:rPr>
                <w:rFonts w:ascii="Open Sans" w:eastAsia="Open Sans" w:hAnsi="Open Sans"/>
                <w:color w:val="000000"/>
              </w:rPr>
              <w:t xml:space="preserve">procedimento </w:t>
            </w:r>
            <w:r>
              <w:tab/>
            </w:r>
            <w:r>
              <w:rPr>
                <w:rFonts w:ascii="Open Sans" w:eastAsia="Open Sans" w:hAnsi="Open Sans"/>
                <w:color w:val="000000"/>
              </w:rPr>
              <w:t xml:space="preserve">mediante </w:t>
            </w:r>
          </w:p>
          <w:p w14:paraId="1F69E900" w14:textId="77777777" w:rsidR="008B4792" w:rsidRDefault="00000000">
            <w:pPr>
              <w:autoSpaceDE w:val="0"/>
              <w:autoSpaceDN w:val="0"/>
              <w:spacing w:before="240" w:after="0" w:line="245" w:lineRule="auto"/>
              <w:ind w:left="180" w:right="122"/>
              <w:jc w:val="both"/>
            </w:pPr>
            <w:r>
              <w:rPr>
                <w:rFonts w:ascii="Open Sans" w:eastAsia="Open Sans" w:hAnsi="Open Sans"/>
                <w:color w:val="000000"/>
              </w:rPr>
              <w:t xml:space="preserve">il </w:t>
            </w:r>
          </w:p>
        </w:tc>
        <w:tc>
          <w:tcPr>
            <w:tcW w:w="5384" w:type="dxa"/>
            <w:tcBorders>
              <w:top w:val="single" w:sz="12" w:space="0" w:color="DADADA"/>
              <w:left w:val="single" w:sz="12" w:space="0" w:color="DADADA"/>
              <w:bottom w:val="single" w:sz="12" w:space="0" w:color="DADADA"/>
              <w:right w:val="single" w:sz="12" w:space="0" w:color="DADADA"/>
            </w:tcBorders>
            <w:tcMar>
              <w:left w:w="0" w:type="dxa"/>
              <w:right w:w="0" w:type="dxa"/>
            </w:tcMar>
          </w:tcPr>
          <w:p w14:paraId="3D1C7972" w14:textId="77777777" w:rsidR="008B4792" w:rsidRDefault="00000000">
            <w:pPr>
              <w:autoSpaceDE w:val="0"/>
              <w:autoSpaceDN w:val="0"/>
              <w:spacing w:before="154" w:after="0" w:line="245" w:lineRule="auto"/>
              <w:ind w:left="178" w:right="144"/>
            </w:pPr>
            <w:r>
              <w:rPr>
                <w:rFonts w:ascii="Open Sans" w:eastAsia="Open Sans" w:hAnsi="Open Sans"/>
                <w:color w:val="000000"/>
              </w:rPr>
              <w:t xml:space="preserve">quale </w:t>
            </w:r>
            <w:r>
              <w:br/>
            </w:r>
            <w:r>
              <w:rPr>
                <w:rFonts w:ascii="Open Sans" w:eastAsia="Open Sans" w:hAnsi="Open Sans"/>
                <w:color w:val="000000"/>
              </w:rPr>
              <w:t>raccogliamo informazioni sul paziente attraverso diverse tecniche, con il fine di valutare la sua sintomatologia, funzionamento e capacità.</w:t>
            </w:r>
          </w:p>
          <w:p w14:paraId="086BD918" w14:textId="77777777" w:rsidR="008B4792" w:rsidRDefault="00000000">
            <w:pPr>
              <w:autoSpaceDE w:val="0"/>
              <w:autoSpaceDN w:val="0"/>
              <w:spacing w:before="240" w:after="0" w:line="245" w:lineRule="auto"/>
              <w:ind w:left="178" w:right="432"/>
            </w:pPr>
            <w:r>
              <w:rPr>
                <w:rFonts w:ascii="Open Sans" w:eastAsia="Open Sans" w:hAnsi="Open Sans"/>
                <w:color w:val="000000"/>
              </w:rPr>
              <w:t>Sulla base della valutazione saranno prese decisioni sul tipo, sequenza e obiettivi del piano di trattamento; e, in seguito, le tecniche di valutazione saranno responsabili di valutare i cambiamenti prodotti durante l'intervento.</w:t>
            </w:r>
          </w:p>
        </w:tc>
      </w:tr>
    </w:tbl>
    <w:p w14:paraId="7C921F32" w14:textId="77777777" w:rsidR="008B4792" w:rsidRDefault="00000000">
      <w:pPr>
        <w:autoSpaceDE w:val="0"/>
        <w:autoSpaceDN w:val="0"/>
        <w:spacing w:before="212" w:after="0" w:line="240" w:lineRule="auto"/>
        <w:ind w:left="496"/>
      </w:pPr>
      <w:r>
        <w:rPr>
          <w:rFonts w:ascii="Open Sans" w:eastAsia="Open Sans" w:hAnsi="Open Sans"/>
          <w:color w:val="000000"/>
        </w:rPr>
        <w:t>*Guarda il video dell'analisi funzionale del comportamento.</w:t>
      </w:r>
    </w:p>
    <w:p w14:paraId="0CC3CAA9" w14:textId="77777777" w:rsidR="008B4792" w:rsidRDefault="00000000">
      <w:pPr>
        <w:autoSpaceDE w:val="0"/>
        <w:autoSpaceDN w:val="0"/>
        <w:spacing w:before="240" w:after="0" w:line="245" w:lineRule="auto"/>
        <w:ind w:left="16" w:right="36"/>
        <w:jc w:val="both"/>
      </w:pPr>
      <w:r>
        <w:rPr>
          <w:rFonts w:ascii="Open Sans" w:eastAsia="Open Sans" w:hAnsi="Open Sans"/>
          <w:color w:val="000000"/>
        </w:rPr>
        <w:t xml:space="preserve">Sebbene siano distinti, diagnosi e valutazione vanno sempre insieme, poiché, per effettuare la prima, si deve svolgere una buona valutazione. Ciò faciliterà inoltre la presa di decisioni per l'intervento. </w:t>
      </w:r>
    </w:p>
    <w:p w14:paraId="6689EFFD" w14:textId="390A75B3" w:rsidR="008B4792" w:rsidRDefault="00000000" w:rsidP="00124079">
      <w:pPr>
        <w:autoSpaceDE w:val="0"/>
        <w:autoSpaceDN w:val="0"/>
        <w:spacing w:before="240" w:after="0" w:line="240" w:lineRule="auto"/>
        <w:ind w:left="16"/>
        <w:sectPr w:rsidR="008B4792">
          <w:pgSz w:w="11910" w:h="16838"/>
          <w:pgMar w:top="252" w:right="462" w:bottom="588" w:left="540" w:header="720" w:footer="720" w:gutter="0"/>
          <w:cols w:space="708"/>
          <w:docGrid w:linePitch="360"/>
        </w:sectPr>
      </w:pPr>
      <w:r>
        <w:rPr>
          <w:rFonts w:ascii="Open Sans" w:eastAsia="Open Sans" w:hAnsi="Open Sans"/>
          <w:b/>
          <w:color w:val="7DD957"/>
        </w:rPr>
        <w:t>Importante:</w:t>
      </w:r>
      <w:r>
        <w:rPr>
          <w:rFonts w:ascii="Open Sans" w:eastAsia="Open Sans" w:hAnsi="Open Sans"/>
          <w:color w:val="000000"/>
        </w:rPr>
        <w:t xml:space="preserve"> una buona valutazione psicologica rappresenta l'80% della terapia. </w:t>
      </w:r>
    </w:p>
    <w:p w14:paraId="41659FEF" w14:textId="28C7AE8C" w:rsidR="008B4792" w:rsidRDefault="00124079" w:rsidP="00124079">
      <w:pPr>
        <w:autoSpaceDE w:val="0"/>
        <w:autoSpaceDN w:val="0"/>
        <w:spacing w:after="96" w:line="220" w:lineRule="exac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7FF187" wp14:editId="38FAE77F">
                <wp:simplePos x="0" y="0"/>
                <wp:positionH relativeFrom="column">
                  <wp:posOffset>1611744</wp:posOffset>
                </wp:positionH>
                <wp:positionV relativeFrom="paragraph">
                  <wp:posOffset>480268</wp:posOffset>
                </wp:positionV>
                <wp:extent cx="3862316" cy="2156346"/>
                <wp:effectExtent l="57150" t="19050" r="81280" b="92075"/>
                <wp:wrapNone/>
                <wp:docPr id="135633279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2316" cy="215634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AB5501" w14:textId="2094A4B0" w:rsidR="00124079" w:rsidRPr="00124079" w:rsidRDefault="00124079" w:rsidP="0012407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Prevede di catalogare una malattia in funzione dei diversi sintomi che presenta il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7FF187" id="Rectángulo 1" o:spid="_x0000_s1026" style="position:absolute;margin-left:126.9pt;margin-top:37.8pt;width:304.1pt;height:16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2AB5501" w14:textId="2094A4B0" w:rsidR="00124079" w:rsidRPr="00124079" w:rsidRDefault="00124079" w:rsidP="00124079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paziente. </w:t>
                      </w:r>
                    </w:p>
                  </w:txbxContent>
                </v:textbox>
              </v:rect>
            </w:pict>
          </mc:Fallback>
        </mc:AlternateContent>
      </w:r>
    </w:p>
    <w:sectPr w:rsidR="008B4792" w:rsidSect="00124079">
      <w:pgSz w:w="11910" w:h="16838"/>
      <w:pgMar w:top="318" w:right="478" w:bottom="1224" w:left="556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985504">
    <w:abstractNumId w:val="8"/>
  </w:num>
  <w:num w:numId="2" w16cid:durableId="2134976623">
    <w:abstractNumId w:val="6"/>
  </w:num>
  <w:num w:numId="3" w16cid:durableId="176576644">
    <w:abstractNumId w:val="5"/>
  </w:num>
  <w:num w:numId="4" w16cid:durableId="1576162599">
    <w:abstractNumId w:val="4"/>
  </w:num>
  <w:num w:numId="5" w16cid:durableId="1493133352">
    <w:abstractNumId w:val="7"/>
  </w:num>
  <w:num w:numId="6" w16cid:durableId="91629298">
    <w:abstractNumId w:val="3"/>
  </w:num>
  <w:num w:numId="7" w16cid:durableId="1037045733">
    <w:abstractNumId w:val="2"/>
  </w:num>
  <w:num w:numId="8" w16cid:durableId="2071804373">
    <w:abstractNumId w:val="1"/>
  </w:num>
  <w:num w:numId="9" w16cid:durableId="1008412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079"/>
    <w:rsid w:val="0015074B"/>
    <w:rsid w:val="00151F0E"/>
    <w:rsid w:val="0029639D"/>
    <w:rsid w:val="00326F90"/>
    <w:rsid w:val="008B47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4E18DE"/>
  <w14:defaultImageDpi w14:val="300"/>
  <w15:docId w15:val="{87A24683-4FE0-4E1C-B50B-46561B0CB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Eloi Bigorra</cp:lastModifiedBy>
  <cp:revision>2</cp:revision>
  <dcterms:created xsi:type="dcterms:W3CDTF">2013-12-23T23:15:00Z</dcterms:created>
  <dcterms:modified xsi:type="dcterms:W3CDTF">2024-09-13T05:50:00Z</dcterms:modified>
  <cp:category/>
</cp:coreProperties>
</file>